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6"/>
        <w:gridCol w:w="2574"/>
        <w:gridCol w:w="283"/>
        <w:gridCol w:w="4141"/>
      </w:tblGrid>
      <w:tr w:rsidR="006E2905" w:rsidTr="006839F5">
        <w:trPr>
          <w:trHeight w:val="1376"/>
        </w:trPr>
        <w:tc>
          <w:tcPr>
            <w:tcW w:w="2093" w:type="dxa"/>
          </w:tcPr>
          <w:p w:rsidR="006E2905" w:rsidRDefault="006E2905" w:rsidP="006839F5">
            <w:pPr>
              <w:bidi w:val="0"/>
            </w:pPr>
            <w:r>
              <w:rPr>
                <w:noProof/>
              </w:rPr>
              <w:drawing>
                <wp:inline distT="0" distB="0" distL="0" distR="0">
                  <wp:extent cx="555371" cy="8440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8289" cy="848453"/>
                          </a:xfrm>
                          <a:prstGeom prst="rect">
                            <a:avLst/>
                          </a:prstGeom>
                        </pic:spPr>
                      </pic:pic>
                    </a:graphicData>
                  </a:graphic>
                </wp:inline>
              </w:drawing>
            </w:r>
          </w:p>
        </w:tc>
        <w:tc>
          <w:tcPr>
            <w:tcW w:w="7869" w:type="dxa"/>
            <w:gridSpan w:val="3"/>
          </w:tcPr>
          <w:p w:rsidR="006E2905" w:rsidRPr="008037ED" w:rsidRDefault="006E2905" w:rsidP="006839F5">
            <w:pPr>
              <w:pStyle w:val="Header"/>
              <w:jc w:val="center"/>
              <w:rPr>
                <w:b/>
                <w:bCs/>
                <w:sz w:val="16"/>
                <w:szCs w:val="16"/>
                <w:rtl/>
              </w:rPr>
            </w:pPr>
          </w:p>
          <w:p w:rsidR="006E2905" w:rsidRPr="00622148" w:rsidRDefault="006E2905" w:rsidP="006839F5">
            <w:pPr>
              <w:pStyle w:val="Header"/>
              <w:jc w:val="center"/>
              <w:rPr>
                <w:b/>
                <w:bCs/>
                <w:sz w:val="48"/>
                <w:szCs w:val="48"/>
                <w:rtl/>
              </w:rPr>
            </w:pPr>
            <w:r w:rsidRPr="00622148">
              <w:rPr>
                <w:rFonts w:hint="cs"/>
                <w:b/>
                <w:bCs/>
                <w:sz w:val="48"/>
                <w:szCs w:val="48"/>
                <w:rtl/>
              </w:rPr>
              <w:t>הודעה לעיתונות</w:t>
            </w:r>
          </w:p>
          <w:p w:rsidR="006E2905" w:rsidRPr="00622148" w:rsidRDefault="006E2905" w:rsidP="006839F5">
            <w:pPr>
              <w:pStyle w:val="Header"/>
              <w:jc w:val="center"/>
              <w:rPr>
                <w:b/>
                <w:bCs/>
                <w:sz w:val="48"/>
                <w:szCs w:val="48"/>
                <w:rtl/>
              </w:rPr>
            </w:pPr>
            <w:r w:rsidRPr="00622148">
              <w:rPr>
                <w:b/>
                <w:bCs/>
                <w:sz w:val="48"/>
                <w:szCs w:val="48"/>
              </w:rPr>
              <w:t>PRESS INFORMATION</w:t>
            </w:r>
          </w:p>
        </w:tc>
      </w:tr>
      <w:tr w:rsidR="006E2905" w:rsidTr="006839F5">
        <w:trPr>
          <w:trHeight w:val="274"/>
        </w:trPr>
        <w:tc>
          <w:tcPr>
            <w:tcW w:w="5070" w:type="dxa"/>
            <w:gridSpan w:val="2"/>
          </w:tcPr>
          <w:p w:rsidR="006E2905" w:rsidRPr="00622148" w:rsidRDefault="006E2905" w:rsidP="006839F5">
            <w:pPr>
              <w:bidi w:val="0"/>
              <w:rPr>
                <w:sz w:val="28"/>
                <w:szCs w:val="28"/>
                <w:rtl/>
              </w:rPr>
            </w:pPr>
            <w:r w:rsidRPr="00622148">
              <w:rPr>
                <w:rFonts w:asciiTheme="majorBidi" w:eastAsiaTheme="majorEastAsia" w:hAnsiTheme="majorBidi" w:cstheme="majorBidi"/>
                <w:b/>
                <w:bCs/>
                <w:sz w:val="28"/>
                <w:szCs w:val="28"/>
              </w:rPr>
              <w:t>Simon Wiesenthal Center</w:t>
            </w:r>
            <w:r>
              <w:rPr>
                <w:rFonts w:asciiTheme="majorBidi" w:eastAsiaTheme="majorEastAsia" w:hAnsiTheme="majorBidi" w:cstheme="majorBidi"/>
                <w:b/>
                <w:bCs/>
                <w:sz w:val="28"/>
                <w:szCs w:val="28"/>
              </w:rPr>
              <w:t xml:space="preserve"> –</w:t>
            </w:r>
            <w:r w:rsidRPr="00622148">
              <w:rPr>
                <w:rFonts w:asciiTheme="majorBidi" w:eastAsiaTheme="majorEastAsia" w:hAnsiTheme="majorBidi" w:cstheme="majorBidi"/>
                <w:b/>
                <w:bCs/>
                <w:sz w:val="28"/>
                <w:szCs w:val="28"/>
              </w:rPr>
              <w:t xml:space="preserve"> Israel</w:t>
            </w:r>
            <w:r w:rsidRPr="004A0541">
              <w:rPr>
                <w:rFonts w:asciiTheme="majorBidi" w:eastAsiaTheme="majorEastAsia" w:hAnsiTheme="majorBidi" w:cstheme="majorBidi"/>
                <w:b/>
                <w:bCs/>
                <w:sz w:val="28"/>
                <w:szCs w:val="28"/>
              </w:rPr>
              <w:t>Office</w:t>
            </w:r>
          </w:p>
        </w:tc>
        <w:tc>
          <w:tcPr>
            <w:tcW w:w="283" w:type="dxa"/>
          </w:tcPr>
          <w:p w:rsidR="006E2905" w:rsidRDefault="006E2905" w:rsidP="006839F5">
            <w:pPr>
              <w:bidi w:val="0"/>
            </w:pPr>
          </w:p>
        </w:tc>
        <w:tc>
          <w:tcPr>
            <w:tcW w:w="4609" w:type="dxa"/>
          </w:tcPr>
          <w:p w:rsidR="006E2905" w:rsidRPr="00622148" w:rsidRDefault="006E2905" w:rsidP="006839F5">
            <w:pPr>
              <w:pStyle w:val="Heading1"/>
              <w:spacing w:before="0"/>
              <w:outlineLvl w:val="0"/>
              <w:rPr>
                <w:rFonts w:asciiTheme="majorBidi" w:hAnsiTheme="majorBidi"/>
                <w:color w:val="auto"/>
                <w:sz w:val="32"/>
                <w:szCs w:val="32"/>
                <w:rtl/>
              </w:rPr>
            </w:pPr>
            <w:r w:rsidRPr="00622148">
              <w:rPr>
                <w:rFonts w:asciiTheme="majorBidi" w:hAnsiTheme="majorBidi"/>
                <w:color w:val="auto"/>
                <w:sz w:val="32"/>
                <w:szCs w:val="32"/>
                <w:rtl/>
              </w:rPr>
              <w:t>מרכז שמעון ויזנטל</w:t>
            </w:r>
            <w:r>
              <w:rPr>
                <w:rFonts w:asciiTheme="majorBidi" w:hAnsiTheme="majorBidi" w:hint="cs"/>
                <w:color w:val="auto"/>
                <w:sz w:val="32"/>
                <w:szCs w:val="32"/>
                <w:rtl/>
              </w:rPr>
              <w:t xml:space="preserve"> - המשרד בישראל</w:t>
            </w:r>
          </w:p>
        </w:tc>
      </w:tr>
      <w:tr w:rsidR="006E2905" w:rsidRPr="004775F5" w:rsidTr="006839F5">
        <w:tc>
          <w:tcPr>
            <w:tcW w:w="5070" w:type="dxa"/>
            <w:gridSpan w:val="2"/>
          </w:tcPr>
          <w:p w:rsidR="006E2905" w:rsidRPr="00622148" w:rsidRDefault="006E2905" w:rsidP="006839F5">
            <w:pPr>
              <w:pStyle w:val="Subtitle"/>
              <w:bidi w:val="0"/>
              <w:rPr>
                <w:b/>
                <w:bCs/>
                <w:i w:val="0"/>
                <w:iCs w:val="0"/>
                <w:color w:val="auto"/>
                <w:sz w:val="20"/>
                <w:szCs w:val="20"/>
              </w:rPr>
            </w:pPr>
            <w:r w:rsidRPr="00622148">
              <w:rPr>
                <w:b/>
                <w:bCs/>
                <w:i w:val="0"/>
                <w:iCs w:val="0"/>
                <w:color w:val="auto"/>
                <w:sz w:val="20"/>
                <w:szCs w:val="20"/>
              </w:rPr>
              <w:t>Snider Social Action Institute</w:t>
            </w:r>
          </w:p>
        </w:tc>
        <w:tc>
          <w:tcPr>
            <w:tcW w:w="283" w:type="dxa"/>
          </w:tcPr>
          <w:p w:rsidR="006E2905" w:rsidRPr="004775F5" w:rsidRDefault="006E2905" w:rsidP="006839F5">
            <w:pPr>
              <w:bidi w:val="0"/>
              <w:rPr>
                <w:b/>
                <w:bCs/>
              </w:rPr>
            </w:pPr>
          </w:p>
        </w:tc>
        <w:tc>
          <w:tcPr>
            <w:tcW w:w="4609" w:type="dxa"/>
          </w:tcPr>
          <w:p w:rsidR="006E2905" w:rsidRPr="00622148" w:rsidRDefault="006E2905" w:rsidP="006839F5">
            <w:pPr>
              <w:pStyle w:val="Subtitle"/>
              <w:bidi w:val="0"/>
              <w:jc w:val="right"/>
              <w:rPr>
                <w:b/>
                <w:bCs/>
                <w:i w:val="0"/>
                <w:iCs w:val="0"/>
                <w:color w:val="auto"/>
                <w:sz w:val="22"/>
                <w:szCs w:val="22"/>
              </w:rPr>
            </w:pPr>
            <w:r w:rsidRPr="00622148">
              <w:rPr>
                <w:rFonts w:hint="cs"/>
                <w:b/>
                <w:bCs/>
                <w:i w:val="0"/>
                <w:iCs w:val="0"/>
                <w:color w:val="auto"/>
                <w:sz w:val="22"/>
                <w:szCs w:val="22"/>
                <w:rtl/>
              </w:rPr>
              <w:t>מכון סניידר למע</w:t>
            </w:r>
            <w:r>
              <w:rPr>
                <w:rFonts w:hint="cs"/>
                <w:b/>
                <w:bCs/>
                <w:i w:val="0"/>
                <w:iCs w:val="0"/>
                <w:color w:val="auto"/>
                <w:sz w:val="22"/>
                <w:szCs w:val="22"/>
                <w:rtl/>
              </w:rPr>
              <w:t>ור</w:t>
            </w:r>
            <w:r w:rsidRPr="00622148">
              <w:rPr>
                <w:rFonts w:hint="cs"/>
                <w:b/>
                <w:bCs/>
                <w:i w:val="0"/>
                <w:iCs w:val="0"/>
                <w:color w:val="auto"/>
                <w:sz w:val="22"/>
                <w:szCs w:val="22"/>
                <w:rtl/>
              </w:rPr>
              <w:t>בות ציבורית</w:t>
            </w:r>
          </w:p>
        </w:tc>
      </w:tr>
      <w:tr w:rsidR="006E2905" w:rsidRPr="004775F5" w:rsidTr="006839F5">
        <w:tc>
          <w:tcPr>
            <w:tcW w:w="5070" w:type="dxa"/>
            <w:gridSpan w:val="2"/>
          </w:tcPr>
          <w:p w:rsidR="006E2905" w:rsidRPr="00622148" w:rsidRDefault="006E2905" w:rsidP="006839F5">
            <w:pPr>
              <w:bidi w:val="0"/>
              <w:rPr>
                <w:sz w:val="20"/>
                <w:szCs w:val="20"/>
              </w:rPr>
            </w:pPr>
            <w:r w:rsidRPr="00622148">
              <w:rPr>
                <w:sz w:val="20"/>
                <w:szCs w:val="20"/>
              </w:rPr>
              <w:t>Israel Office: 1 Mendele St., Jerusalem 92147</w:t>
            </w:r>
          </w:p>
        </w:tc>
        <w:tc>
          <w:tcPr>
            <w:tcW w:w="283" w:type="dxa"/>
          </w:tcPr>
          <w:p w:rsidR="006E2905" w:rsidRPr="004775F5" w:rsidRDefault="006E2905" w:rsidP="006839F5">
            <w:pPr>
              <w:bidi w:val="0"/>
              <w:rPr>
                <w:b/>
                <w:bCs/>
              </w:rPr>
            </w:pPr>
          </w:p>
        </w:tc>
        <w:tc>
          <w:tcPr>
            <w:tcW w:w="4609" w:type="dxa"/>
          </w:tcPr>
          <w:p w:rsidR="006E2905" w:rsidRPr="00622148" w:rsidRDefault="006E2905" w:rsidP="006839F5">
            <w:pPr>
              <w:pStyle w:val="Subtitle"/>
              <w:bidi w:val="0"/>
              <w:jc w:val="right"/>
              <w:rPr>
                <w:i w:val="0"/>
                <w:iCs w:val="0"/>
                <w:color w:val="auto"/>
                <w:sz w:val="22"/>
                <w:szCs w:val="22"/>
              </w:rPr>
            </w:pPr>
            <w:r w:rsidRPr="00622148">
              <w:rPr>
                <w:rFonts w:hint="cs"/>
                <w:i w:val="0"/>
                <w:iCs w:val="0"/>
                <w:color w:val="auto"/>
                <w:sz w:val="22"/>
                <w:szCs w:val="22"/>
                <w:rtl/>
              </w:rPr>
              <w:t>המשרד בישראל: רח' מנדלי 1 ירושלים 92147</w:t>
            </w:r>
          </w:p>
        </w:tc>
      </w:tr>
      <w:tr w:rsidR="006E2905" w:rsidRPr="00622148" w:rsidTr="006839F5">
        <w:tc>
          <w:tcPr>
            <w:tcW w:w="9962" w:type="dxa"/>
            <w:gridSpan w:val="4"/>
            <w:tcBorders>
              <w:bottom w:val="single" w:sz="4" w:space="0" w:color="auto"/>
            </w:tcBorders>
          </w:tcPr>
          <w:p w:rsidR="006E2905" w:rsidRDefault="006E2905" w:rsidP="006839F5">
            <w:pPr>
              <w:jc w:val="center"/>
              <w:rPr>
                <w:sz w:val="20"/>
                <w:szCs w:val="20"/>
              </w:rPr>
            </w:pPr>
            <w:r w:rsidRPr="00622148">
              <w:rPr>
                <w:sz w:val="20"/>
                <w:szCs w:val="20"/>
              </w:rPr>
              <w:t>Tel: (02)563</w:t>
            </w:r>
            <w:r>
              <w:rPr>
                <w:sz w:val="20"/>
                <w:szCs w:val="20"/>
              </w:rPr>
              <w:t>-</w:t>
            </w:r>
            <w:r w:rsidRPr="00622148">
              <w:rPr>
                <w:sz w:val="20"/>
                <w:szCs w:val="20"/>
              </w:rPr>
              <w:t>1273/4 or 050</w:t>
            </w:r>
            <w:r>
              <w:rPr>
                <w:sz w:val="20"/>
                <w:szCs w:val="20"/>
              </w:rPr>
              <w:t>-</w:t>
            </w:r>
            <w:r w:rsidRPr="00622148">
              <w:rPr>
                <w:sz w:val="20"/>
                <w:szCs w:val="20"/>
              </w:rPr>
              <w:t>721</w:t>
            </w:r>
            <w:r>
              <w:rPr>
                <w:sz w:val="20"/>
                <w:szCs w:val="20"/>
              </w:rPr>
              <w:t>-</w:t>
            </w:r>
            <w:r w:rsidRPr="00622148">
              <w:rPr>
                <w:sz w:val="20"/>
                <w:szCs w:val="20"/>
              </w:rPr>
              <w:t>4156 Fax: (02)563</w:t>
            </w:r>
            <w:r>
              <w:rPr>
                <w:sz w:val="20"/>
                <w:szCs w:val="20"/>
              </w:rPr>
              <w:t>-</w:t>
            </w:r>
            <w:r w:rsidRPr="00622148">
              <w:rPr>
                <w:sz w:val="20"/>
                <w:szCs w:val="20"/>
              </w:rPr>
              <w:t>1276</w:t>
            </w:r>
          </w:p>
          <w:p w:rsidR="006E2905" w:rsidRPr="00622148" w:rsidRDefault="006E2905" w:rsidP="006839F5">
            <w:pPr>
              <w:jc w:val="center"/>
              <w:rPr>
                <w:sz w:val="20"/>
                <w:szCs w:val="20"/>
                <w:rtl/>
              </w:rPr>
            </w:pPr>
            <w:r>
              <w:rPr>
                <w:sz w:val="20"/>
                <w:szCs w:val="20"/>
              </w:rPr>
              <w:t>website</w:t>
            </w:r>
            <w:r w:rsidRPr="004A0541">
              <w:rPr>
                <w:color w:val="000000" w:themeColor="text1"/>
                <w:sz w:val="20"/>
                <w:szCs w:val="20"/>
              </w:rPr>
              <w:t xml:space="preserve">: </w:t>
            </w:r>
            <w:hyperlink r:id="rId7" w:history="1">
              <w:r w:rsidRPr="004A0541">
                <w:rPr>
                  <w:rStyle w:val="Hyperlink"/>
                  <w:color w:val="000000" w:themeColor="text1"/>
                  <w:sz w:val="20"/>
                  <w:szCs w:val="20"/>
                </w:rPr>
                <w:t>www.operationlastchance.org</w:t>
              </w:r>
            </w:hyperlink>
            <w:r w:rsidRPr="00622148">
              <w:rPr>
                <w:sz w:val="20"/>
                <w:szCs w:val="20"/>
              </w:rPr>
              <w:t xml:space="preserve"> E-mail: </w:t>
            </w:r>
            <w:hyperlink r:id="rId8" w:history="1">
              <w:r w:rsidRPr="00622148">
                <w:rPr>
                  <w:rStyle w:val="Hyperlink"/>
                  <w:sz w:val="20"/>
                  <w:szCs w:val="20"/>
                </w:rPr>
                <w:t>swcjerus@netvision.net.il</w:t>
              </w:r>
            </w:hyperlink>
          </w:p>
        </w:tc>
      </w:tr>
    </w:tbl>
    <w:p w:rsidR="006E2905" w:rsidRDefault="006E2905" w:rsidP="006E2905">
      <w:pPr>
        <w:bidi w:val="0"/>
        <w:spacing w:after="0"/>
        <w:jc w:val="right"/>
        <w:rPr>
          <w:rFonts w:asciiTheme="majorBidi" w:hAnsiTheme="majorBidi" w:cstheme="majorBidi"/>
          <w:sz w:val="20"/>
          <w:szCs w:val="20"/>
        </w:rPr>
      </w:pPr>
    </w:p>
    <w:p w:rsidR="006E2905" w:rsidRDefault="00A02F6F" w:rsidP="00A02F6F">
      <w:pPr>
        <w:bidi w:val="0"/>
        <w:spacing w:after="0"/>
        <w:jc w:val="right"/>
        <w:rPr>
          <w:rFonts w:asciiTheme="majorBidi" w:hAnsiTheme="majorBidi" w:cstheme="majorBidi"/>
          <w:sz w:val="20"/>
          <w:szCs w:val="20"/>
        </w:rPr>
      </w:pPr>
      <w:r>
        <w:rPr>
          <w:rFonts w:asciiTheme="majorBidi" w:hAnsiTheme="majorBidi" w:cstheme="majorBidi"/>
          <w:sz w:val="20"/>
          <w:szCs w:val="20"/>
        </w:rPr>
        <w:t>2</w:t>
      </w:r>
      <w:r w:rsidR="00B1478A">
        <w:rPr>
          <w:rFonts w:asciiTheme="majorBidi" w:hAnsiTheme="majorBidi" w:cstheme="majorBidi"/>
          <w:sz w:val="20"/>
          <w:szCs w:val="20"/>
        </w:rPr>
        <w:t>8-1</w:t>
      </w:r>
      <w:r>
        <w:rPr>
          <w:rFonts w:asciiTheme="majorBidi" w:hAnsiTheme="majorBidi" w:cstheme="majorBidi"/>
          <w:sz w:val="20"/>
          <w:szCs w:val="20"/>
        </w:rPr>
        <w:t>6</w:t>
      </w:r>
    </w:p>
    <w:p w:rsidR="001B45DE" w:rsidRDefault="001B45DE" w:rsidP="001B45DE">
      <w:pPr>
        <w:bidi w:val="0"/>
        <w:spacing w:after="0"/>
        <w:jc w:val="right"/>
        <w:rPr>
          <w:rFonts w:asciiTheme="majorBidi" w:hAnsiTheme="majorBidi" w:cstheme="majorBidi"/>
          <w:sz w:val="20"/>
          <w:szCs w:val="20"/>
        </w:rPr>
      </w:pPr>
    </w:p>
    <w:p w:rsidR="001B45DE" w:rsidRDefault="001B45DE" w:rsidP="00A02F6F">
      <w:pPr>
        <w:spacing w:line="360" w:lineRule="auto"/>
        <w:ind w:left="6326" w:right="-1080"/>
        <w:rPr>
          <w:rFonts w:cs="David"/>
        </w:rPr>
      </w:pPr>
      <w:r>
        <w:rPr>
          <w:rFonts w:cs="David"/>
          <w:rtl/>
        </w:rPr>
        <w:t>כ"</w:t>
      </w:r>
      <w:r w:rsidR="00A02F6F">
        <w:rPr>
          <w:rFonts w:cs="David" w:hint="cs"/>
          <w:rtl/>
        </w:rPr>
        <w:t>ו</w:t>
      </w:r>
      <w:r>
        <w:rPr>
          <w:rFonts w:cs="David"/>
          <w:rtl/>
        </w:rPr>
        <w:t xml:space="preserve"> ניסן תשע''</w:t>
      </w:r>
      <w:r w:rsidR="00A02F6F">
        <w:rPr>
          <w:rFonts w:cs="David" w:hint="cs"/>
          <w:rtl/>
        </w:rPr>
        <w:t>ו</w:t>
      </w:r>
      <w:r>
        <w:rPr>
          <w:rFonts w:cs="David"/>
          <w:rtl/>
        </w:rPr>
        <w:t>//</w:t>
      </w:r>
      <w:r w:rsidR="00A02F6F">
        <w:rPr>
          <w:rFonts w:cs="David" w:hint="cs"/>
          <w:rtl/>
        </w:rPr>
        <w:t>4 אפריל 2016</w:t>
      </w:r>
    </w:p>
    <w:p w:rsidR="001B45DE" w:rsidRDefault="001B45DE" w:rsidP="001B45DE">
      <w:pPr>
        <w:bidi w:val="0"/>
        <w:spacing w:after="0"/>
        <w:jc w:val="center"/>
        <w:rPr>
          <w:rFonts w:cs="David"/>
          <w:b/>
          <w:bCs/>
          <w:sz w:val="32"/>
          <w:szCs w:val="32"/>
          <w:u w:val="single"/>
          <w:rtl/>
        </w:rPr>
      </w:pPr>
      <w:r>
        <w:rPr>
          <w:rFonts w:cs="David"/>
          <w:b/>
          <w:bCs/>
          <w:sz w:val="32"/>
          <w:szCs w:val="32"/>
          <w:u w:val="single"/>
          <w:rtl/>
        </w:rPr>
        <w:t>הדו"ח השנתי של מרכז שמעון ויזנטל מצביע על הישגים חשובים</w:t>
      </w:r>
      <w:r>
        <w:rPr>
          <w:rFonts w:cs="David" w:hint="cs"/>
          <w:b/>
          <w:bCs/>
          <w:sz w:val="32"/>
          <w:szCs w:val="32"/>
          <w:u w:val="single"/>
          <w:rtl/>
        </w:rPr>
        <w:t xml:space="preserve"> שהושגו בגרמניה השנה במרדף אחר פושעי מלחמה נאצים</w:t>
      </w:r>
    </w:p>
    <w:p w:rsidR="001B45DE" w:rsidRDefault="001B45DE" w:rsidP="001B45DE">
      <w:pPr>
        <w:spacing w:after="0"/>
        <w:rPr>
          <w:rFonts w:cs="David"/>
          <w:b/>
          <w:bCs/>
          <w:sz w:val="32"/>
          <w:szCs w:val="32"/>
          <w:u w:val="single"/>
          <w:rtl/>
        </w:rPr>
      </w:pPr>
    </w:p>
    <w:p w:rsidR="001B45DE" w:rsidRPr="00AF1F51" w:rsidRDefault="001B45DE" w:rsidP="00A86481">
      <w:pPr>
        <w:spacing w:line="360" w:lineRule="auto"/>
        <w:ind w:left="-199" w:right="-142"/>
        <w:rPr>
          <w:rFonts w:cs="David"/>
          <w:sz w:val="24"/>
          <w:szCs w:val="24"/>
          <w:rtl/>
        </w:rPr>
      </w:pPr>
      <w:r w:rsidRPr="00AF1F51">
        <w:rPr>
          <w:rFonts w:cs="David"/>
          <w:sz w:val="24"/>
          <w:szCs w:val="24"/>
          <w:rtl/>
        </w:rPr>
        <w:t xml:space="preserve">ירושלים - מרכז שמעון ויזנטל חושף היום את ממצאיו </w:t>
      </w:r>
      <w:r w:rsidR="00B1478A">
        <w:rPr>
          <w:rFonts w:cs="David" w:hint="cs"/>
          <w:sz w:val="24"/>
          <w:szCs w:val="24"/>
          <w:rtl/>
        </w:rPr>
        <w:t>הראשונים</w:t>
      </w:r>
      <w:r w:rsidRPr="00AF1F51">
        <w:rPr>
          <w:rFonts w:cs="David"/>
          <w:sz w:val="24"/>
          <w:szCs w:val="24"/>
          <w:rtl/>
        </w:rPr>
        <w:t xml:space="preserve"> של הדו"ח  השנתי </w:t>
      </w:r>
      <w:r w:rsidRPr="00AF1F51">
        <w:rPr>
          <w:rFonts w:cs="David" w:hint="cs"/>
          <w:sz w:val="24"/>
          <w:szCs w:val="24"/>
          <w:rtl/>
        </w:rPr>
        <w:t>ה</w:t>
      </w:r>
      <w:r w:rsidR="00B1478A">
        <w:rPr>
          <w:rFonts w:cs="David" w:hint="cs"/>
          <w:sz w:val="24"/>
          <w:szCs w:val="24"/>
          <w:rtl/>
        </w:rPr>
        <w:t>ארבע</w:t>
      </w:r>
      <w:r w:rsidRPr="00AF1F51">
        <w:rPr>
          <w:rFonts w:cs="David" w:hint="cs"/>
          <w:sz w:val="24"/>
          <w:szCs w:val="24"/>
          <w:rtl/>
        </w:rPr>
        <w:t xml:space="preserve"> עשרה</w:t>
      </w:r>
      <w:r w:rsidRPr="00AF1F51">
        <w:rPr>
          <w:rFonts w:cs="David"/>
          <w:sz w:val="24"/>
          <w:szCs w:val="24"/>
          <w:rtl/>
        </w:rPr>
        <w:t xml:space="preserve"> על מצב החקירות וההעמדה לדין של פושעי מלחמה נאצים ברחבי העולם, המתייחס לתקופה שבין 1 באפריל 201</w:t>
      </w:r>
      <w:r w:rsidR="00B1478A">
        <w:rPr>
          <w:rFonts w:cs="David" w:hint="cs"/>
          <w:sz w:val="24"/>
          <w:szCs w:val="24"/>
          <w:rtl/>
        </w:rPr>
        <w:t>4</w:t>
      </w:r>
      <w:r w:rsidRPr="00AF1F51">
        <w:rPr>
          <w:rFonts w:cs="David"/>
          <w:sz w:val="24"/>
          <w:szCs w:val="24"/>
          <w:rtl/>
        </w:rPr>
        <w:t xml:space="preserve"> ל-31 במרץ 201</w:t>
      </w:r>
      <w:r w:rsidR="00B1478A">
        <w:rPr>
          <w:rFonts w:cs="David" w:hint="cs"/>
          <w:sz w:val="24"/>
          <w:szCs w:val="24"/>
          <w:rtl/>
        </w:rPr>
        <w:t>5ומציג</w:t>
      </w:r>
      <w:r w:rsidRPr="00AF1F51">
        <w:rPr>
          <w:rFonts w:cs="David"/>
          <w:sz w:val="24"/>
          <w:szCs w:val="24"/>
          <w:rtl/>
        </w:rPr>
        <w:t xml:space="preserve"> את התוצאות שהושגו על ידי למעלה משלושים מדינות בהן בוצעו פשעי</w:t>
      </w:r>
      <w:r w:rsidR="00A86481">
        <w:rPr>
          <w:rFonts w:cs="David" w:hint="cs"/>
          <w:sz w:val="24"/>
          <w:szCs w:val="24"/>
          <w:rtl/>
        </w:rPr>
        <w:t xml:space="preserve"> ה</w:t>
      </w:r>
      <w:r w:rsidRPr="00AF1F51">
        <w:rPr>
          <w:rFonts w:cs="David"/>
          <w:sz w:val="24"/>
          <w:szCs w:val="24"/>
          <w:rtl/>
        </w:rPr>
        <w:t xml:space="preserve">נאצים או שהתירו את כניסתם </w:t>
      </w:r>
      <w:r w:rsidR="00A86481">
        <w:rPr>
          <w:rFonts w:cs="David" w:hint="cs"/>
          <w:sz w:val="24"/>
          <w:szCs w:val="24"/>
          <w:rtl/>
        </w:rPr>
        <w:t xml:space="preserve">של </w:t>
      </w:r>
      <w:r w:rsidRPr="00AF1F51">
        <w:rPr>
          <w:rFonts w:cs="David"/>
          <w:sz w:val="24"/>
          <w:szCs w:val="24"/>
          <w:rtl/>
        </w:rPr>
        <w:t xml:space="preserve">פושעים אלה לאחר מלחמת העולם השנייה. </w:t>
      </w:r>
    </w:p>
    <w:p w:rsidR="001B45DE" w:rsidRPr="00AF1F51" w:rsidRDefault="001B45DE" w:rsidP="001B45DE">
      <w:pPr>
        <w:spacing w:line="360" w:lineRule="auto"/>
        <w:ind w:left="-199" w:right="-1080"/>
        <w:rPr>
          <w:rFonts w:cs="David"/>
          <w:sz w:val="24"/>
          <w:szCs w:val="24"/>
          <w:rtl/>
        </w:rPr>
      </w:pPr>
      <w:r w:rsidRPr="00AF1F51">
        <w:rPr>
          <w:rFonts w:cs="David"/>
          <w:sz w:val="24"/>
          <w:szCs w:val="24"/>
          <w:rtl/>
        </w:rPr>
        <w:t> הדו"ח מצביע על ההתפתחויות החשובות הבאות:</w:t>
      </w:r>
    </w:p>
    <w:p w:rsidR="001B45DE" w:rsidRPr="00AF1F51" w:rsidRDefault="001B45DE" w:rsidP="00B1478A">
      <w:pPr>
        <w:spacing w:line="360" w:lineRule="auto"/>
        <w:ind w:left="-199"/>
        <w:rPr>
          <w:rFonts w:cs="David"/>
          <w:sz w:val="24"/>
          <w:szCs w:val="24"/>
          <w:rtl/>
        </w:rPr>
      </w:pPr>
      <w:r w:rsidRPr="00AF1F51">
        <w:rPr>
          <w:rFonts w:cs="David" w:hint="cs"/>
          <w:sz w:val="24"/>
          <w:szCs w:val="24"/>
          <w:rtl/>
        </w:rPr>
        <w:t>1. התוצאות החיוביות החשובות ביותר שהושגו בתקופה הנידונה היו בגרמניה בעקבות החלטת</w:t>
      </w:r>
      <w:r w:rsidR="00A07FBE">
        <w:rPr>
          <w:rFonts w:cs="David" w:hint="cs"/>
          <w:sz w:val="24"/>
          <w:szCs w:val="24"/>
          <w:rtl/>
        </w:rPr>
        <w:t>ם</w:t>
      </w:r>
      <w:r w:rsidRPr="00AF1F51">
        <w:rPr>
          <w:rFonts w:cs="David" w:hint="cs"/>
          <w:sz w:val="24"/>
          <w:szCs w:val="24"/>
          <w:rtl/>
        </w:rPr>
        <w:t xml:space="preserve"> של אנשי התב</w:t>
      </w:r>
      <w:r w:rsidR="00A07FBE">
        <w:rPr>
          <w:rFonts w:cs="David" w:hint="cs"/>
          <w:sz w:val="24"/>
          <w:szCs w:val="24"/>
          <w:rtl/>
        </w:rPr>
        <w:t>י</w:t>
      </w:r>
      <w:r w:rsidRPr="00AF1F51">
        <w:rPr>
          <w:rFonts w:cs="David" w:hint="cs"/>
          <w:sz w:val="24"/>
          <w:szCs w:val="24"/>
          <w:rtl/>
        </w:rPr>
        <w:t>עה על מדיניות חדשה שמאפשרת את הרשעתם בדין של כמעט כל מי ששירת במחנות המוות או בעוצ</w:t>
      </w:r>
      <w:r w:rsidR="00415085">
        <w:rPr>
          <w:rFonts w:cs="David" w:hint="cs"/>
          <w:sz w:val="24"/>
          <w:szCs w:val="24"/>
          <w:rtl/>
        </w:rPr>
        <w:t>ב</w:t>
      </w:r>
      <w:r w:rsidRPr="00AF1F51">
        <w:rPr>
          <w:rFonts w:cs="David" w:hint="cs"/>
          <w:sz w:val="24"/>
          <w:szCs w:val="24"/>
          <w:rtl/>
        </w:rPr>
        <w:t xml:space="preserve">ות המבצע (איינזצגרופין). השנוי יושם לראשונה מזה </w:t>
      </w:r>
      <w:r w:rsidR="00A86481">
        <w:rPr>
          <w:rFonts w:cs="David" w:hint="cs"/>
          <w:sz w:val="24"/>
          <w:szCs w:val="24"/>
          <w:rtl/>
        </w:rPr>
        <w:t>כ</w:t>
      </w:r>
      <w:r w:rsidRPr="00AF1F51">
        <w:rPr>
          <w:rFonts w:cs="David" w:hint="cs"/>
          <w:sz w:val="24"/>
          <w:szCs w:val="24"/>
          <w:rtl/>
        </w:rPr>
        <w:t xml:space="preserve">חמישים שנה בגרמניה במשפטו של איוון דמיניוק שהורשע במאי 2011 בגין שירותו כזקיף ס.ס. חמוש במחנה המוות סוביבור, ובעקבותיו החל מצוד נרחב אחרי כל מי ששירת ביחידות </w:t>
      </w:r>
      <w:r w:rsidR="00AF1F51" w:rsidRPr="00AF1F51">
        <w:rPr>
          <w:rFonts w:cs="David" w:hint="cs"/>
          <w:sz w:val="24"/>
          <w:szCs w:val="24"/>
          <w:rtl/>
        </w:rPr>
        <w:t xml:space="preserve">אלה. עו"ד קורט שרים, מנהל המשרד הגרמני המרכזי לחקירת פשעי הנאצים </w:t>
      </w:r>
      <w:r w:rsidR="00B1478A">
        <w:rPr>
          <w:rFonts w:cs="David" w:hint="cs"/>
          <w:sz w:val="24"/>
          <w:szCs w:val="24"/>
          <w:rtl/>
        </w:rPr>
        <w:t xml:space="preserve">הודיע לא מכבר </w:t>
      </w:r>
      <w:r w:rsidR="00AF1F51" w:rsidRPr="00AF1F51">
        <w:rPr>
          <w:rFonts w:cs="David" w:hint="cs"/>
          <w:sz w:val="24"/>
          <w:szCs w:val="24"/>
          <w:rtl/>
        </w:rPr>
        <w:t>ששלטונ</w:t>
      </w:r>
      <w:r w:rsidR="00A07FBE">
        <w:rPr>
          <w:rFonts w:cs="David" w:hint="cs"/>
          <w:sz w:val="24"/>
          <w:szCs w:val="24"/>
          <w:rtl/>
        </w:rPr>
        <w:t>ות</w:t>
      </w:r>
      <w:r w:rsidR="00AF1F51" w:rsidRPr="00AF1F51">
        <w:rPr>
          <w:rFonts w:cs="David" w:hint="cs"/>
          <w:sz w:val="24"/>
          <w:szCs w:val="24"/>
          <w:rtl/>
        </w:rPr>
        <w:t xml:space="preserve"> גרמניה כבר הצליחו לאתר </w:t>
      </w:r>
      <w:r w:rsidR="00B1478A">
        <w:rPr>
          <w:rFonts w:cs="David" w:hint="cs"/>
          <w:sz w:val="24"/>
          <w:szCs w:val="24"/>
          <w:rtl/>
        </w:rPr>
        <w:t>כמה עשרות</w:t>
      </w:r>
      <w:r w:rsidR="00AF1F51" w:rsidRPr="00AF1F51">
        <w:rPr>
          <w:rFonts w:cs="David" w:hint="cs"/>
          <w:sz w:val="24"/>
          <w:szCs w:val="24"/>
          <w:rtl/>
        </w:rPr>
        <w:t xml:space="preserve"> אנשים ששירתו במחנ</w:t>
      </w:r>
      <w:r w:rsidR="00B1478A">
        <w:rPr>
          <w:rFonts w:cs="David" w:hint="cs"/>
          <w:sz w:val="24"/>
          <w:szCs w:val="24"/>
          <w:rtl/>
        </w:rPr>
        <w:t>ות</w:t>
      </w:r>
      <w:r w:rsidR="00AF1F51" w:rsidRPr="00AF1F51">
        <w:rPr>
          <w:rFonts w:cs="David" w:hint="cs"/>
          <w:sz w:val="24"/>
          <w:szCs w:val="24"/>
          <w:rtl/>
        </w:rPr>
        <w:t xml:space="preserve"> המוות אושוויץ-בירקנאו </w:t>
      </w:r>
      <w:r w:rsidR="00B1478A">
        <w:rPr>
          <w:rFonts w:cs="David" w:hint="cs"/>
          <w:sz w:val="24"/>
          <w:szCs w:val="24"/>
          <w:rtl/>
        </w:rPr>
        <w:t>ומא</w:t>
      </w:r>
      <w:r w:rsidR="00A86481">
        <w:rPr>
          <w:rFonts w:cs="David" w:hint="cs"/>
          <w:sz w:val="24"/>
          <w:szCs w:val="24"/>
          <w:rtl/>
        </w:rPr>
        <w:t>י</w:t>
      </w:r>
      <w:r w:rsidR="00B1478A">
        <w:rPr>
          <w:rFonts w:cs="David" w:hint="cs"/>
          <w:sz w:val="24"/>
          <w:szCs w:val="24"/>
          <w:rtl/>
        </w:rPr>
        <w:t>דנק</w:t>
      </w:r>
      <w:r w:rsidR="00AF1F51" w:rsidRPr="00AF1F51">
        <w:rPr>
          <w:rFonts w:cs="David" w:hint="cs"/>
          <w:sz w:val="24"/>
          <w:szCs w:val="24"/>
          <w:rtl/>
        </w:rPr>
        <w:t xml:space="preserve"> והם </w:t>
      </w:r>
      <w:r w:rsidR="00B1478A">
        <w:rPr>
          <w:rFonts w:cs="David" w:hint="cs"/>
          <w:sz w:val="24"/>
          <w:szCs w:val="24"/>
          <w:rtl/>
        </w:rPr>
        <w:t>המליצו</w:t>
      </w:r>
      <w:r w:rsidR="00AF1F51" w:rsidRPr="00AF1F51">
        <w:rPr>
          <w:rFonts w:cs="David" w:hint="cs"/>
          <w:sz w:val="24"/>
          <w:szCs w:val="24"/>
          <w:rtl/>
        </w:rPr>
        <w:t xml:space="preserve"> להעמידם לדין. בתקופה הנידונה בדו"ח </w:t>
      </w:r>
      <w:r w:rsidR="00C84ADF">
        <w:rPr>
          <w:rFonts w:cs="David" w:hint="cs"/>
          <w:sz w:val="24"/>
          <w:szCs w:val="24"/>
          <w:rtl/>
        </w:rPr>
        <w:t>ה</w:t>
      </w:r>
      <w:r w:rsidR="00AF1F51" w:rsidRPr="00AF1F51">
        <w:rPr>
          <w:rFonts w:cs="David" w:hint="cs"/>
          <w:sz w:val="24"/>
          <w:szCs w:val="24"/>
          <w:rtl/>
        </w:rPr>
        <w:t xml:space="preserve">חקירות במקרים אלה הועברו לידי </w:t>
      </w:r>
      <w:r w:rsidR="00C84ADF">
        <w:rPr>
          <w:rFonts w:cs="David" w:hint="cs"/>
          <w:sz w:val="24"/>
          <w:szCs w:val="24"/>
          <w:rtl/>
        </w:rPr>
        <w:t>ה</w:t>
      </w:r>
      <w:r w:rsidR="00AF1F51" w:rsidRPr="00AF1F51">
        <w:rPr>
          <w:rFonts w:cs="David" w:hint="cs"/>
          <w:sz w:val="24"/>
          <w:szCs w:val="24"/>
          <w:rtl/>
        </w:rPr>
        <w:t>תביעה במקום מגור</w:t>
      </w:r>
      <w:r w:rsidR="00C84ADF">
        <w:rPr>
          <w:rFonts w:cs="David" w:hint="cs"/>
          <w:sz w:val="24"/>
          <w:szCs w:val="24"/>
          <w:rtl/>
        </w:rPr>
        <w:t>יה</w:t>
      </w:r>
      <w:r w:rsidR="00AF1F51" w:rsidRPr="00AF1F51">
        <w:rPr>
          <w:rFonts w:cs="David" w:hint="cs"/>
          <w:sz w:val="24"/>
          <w:szCs w:val="24"/>
          <w:rtl/>
        </w:rPr>
        <w:t xml:space="preserve">ם של החשודים </w:t>
      </w:r>
      <w:r w:rsidR="00B1478A">
        <w:rPr>
          <w:rFonts w:cs="David" w:hint="cs"/>
          <w:sz w:val="24"/>
          <w:szCs w:val="24"/>
          <w:rtl/>
        </w:rPr>
        <w:t>והוגשו כתבי-אישום נגד שני גברים ומשפטו של הראשון עומד להפתח בשבוע הבא.</w:t>
      </w:r>
    </w:p>
    <w:p w:rsidR="00AF1F51" w:rsidRPr="00AF1F51" w:rsidRDefault="00AF1F51" w:rsidP="00C84ADF">
      <w:pPr>
        <w:spacing w:line="360" w:lineRule="auto"/>
        <w:ind w:left="-199"/>
        <w:rPr>
          <w:rFonts w:cs="David"/>
          <w:sz w:val="24"/>
          <w:szCs w:val="24"/>
          <w:rtl/>
        </w:rPr>
      </w:pPr>
      <w:r w:rsidRPr="00AF1F51">
        <w:rPr>
          <w:rFonts w:cs="David" w:hint="cs"/>
          <w:sz w:val="24"/>
          <w:szCs w:val="24"/>
          <w:rtl/>
        </w:rPr>
        <w:t xml:space="preserve">2. כתוצאה מהצלחות אלה, והעדר </w:t>
      </w:r>
      <w:r w:rsidR="00C84ADF">
        <w:rPr>
          <w:rFonts w:cs="David" w:hint="cs"/>
          <w:sz w:val="24"/>
          <w:szCs w:val="24"/>
          <w:rtl/>
        </w:rPr>
        <w:t>הצלחות בארצות אחרות, ר</w:t>
      </w:r>
      <w:r w:rsidRPr="00AF1F51">
        <w:rPr>
          <w:rFonts w:cs="David" w:hint="cs"/>
          <w:sz w:val="24"/>
          <w:szCs w:val="24"/>
          <w:rtl/>
        </w:rPr>
        <w:t>שימת הפושעים המבוקשים ביותר מתמקד באנשים ששירתו במחנות המוות ובעוצ</w:t>
      </w:r>
      <w:r w:rsidR="00C84ADF">
        <w:rPr>
          <w:rFonts w:cs="David" w:hint="cs"/>
          <w:sz w:val="24"/>
          <w:szCs w:val="24"/>
          <w:rtl/>
        </w:rPr>
        <w:t>ב</w:t>
      </w:r>
      <w:r w:rsidRPr="00AF1F51">
        <w:rPr>
          <w:rFonts w:cs="David" w:hint="cs"/>
          <w:sz w:val="24"/>
          <w:szCs w:val="24"/>
          <w:rtl/>
        </w:rPr>
        <w:t>ות המבצע כי הם אלה עם הסכויים הטובים ביותר להשפט</w:t>
      </w:r>
      <w:r w:rsidR="00C84ADF">
        <w:rPr>
          <w:rFonts w:cs="David" w:hint="cs"/>
          <w:sz w:val="24"/>
          <w:szCs w:val="24"/>
          <w:rtl/>
        </w:rPr>
        <w:t xml:space="preserve"> בעתיד הקרוב</w:t>
      </w:r>
      <w:r w:rsidRPr="00AF1F51">
        <w:rPr>
          <w:rFonts w:cs="David" w:hint="cs"/>
          <w:sz w:val="24"/>
          <w:szCs w:val="24"/>
          <w:rtl/>
        </w:rPr>
        <w:t xml:space="preserve">. </w:t>
      </w:r>
    </w:p>
    <w:p w:rsidR="00AF1F51" w:rsidRPr="00AF1F51" w:rsidRDefault="00AF1F51" w:rsidP="00AF1F51">
      <w:pPr>
        <w:spacing w:line="360" w:lineRule="auto"/>
        <w:ind w:left="-199"/>
        <w:rPr>
          <w:rFonts w:cs="David"/>
          <w:sz w:val="24"/>
          <w:szCs w:val="24"/>
          <w:rtl/>
        </w:rPr>
      </w:pPr>
      <w:r w:rsidRPr="00AF1F51">
        <w:rPr>
          <w:rFonts w:cs="David" w:hint="cs"/>
          <w:sz w:val="24"/>
          <w:szCs w:val="24"/>
          <w:rtl/>
        </w:rPr>
        <w:t xml:space="preserve">3. </w:t>
      </w:r>
      <w:r w:rsidRPr="00AF1F51">
        <w:rPr>
          <w:rFonts w:cs="David"/>
          <w:sz w:val="24"/>
          <w:szCs w:val="24"/>
          <w:rtl/>
        </w:rPr>
        <w:t xml:space="preserve">המכשול העיקרי בדרך לניצחון הצדק, בעיקר בארצות מזרח אירופה, הוא חוסר הרצון הפוליטי להעמיד פושעי מלחמה נאצים לדין ו/או להענישם. המכשול הנוסף הוא שהארצות הבלטיות מנהלות מסע מתוזמר במטרה לשכתב  את  היסטוריית השואה כדי להעלים את חלקן בפשעים נגד היהודים </w:t>
      </w:r>
      <w:r w:rsidRPr="00AF1F51">
        <w:rPr>
          <w:rFonts w:cs="David"/>
          <w:sz w:val="24"/>
          <w:szCs w:val="24"/>
          <w:rtl/>
        </w:rPr>
        <w:lastRenderedPageBreak/>
        <w:t xml:space="preserve">ולהשיג הכרה רשמית בכך שפשעי הקומוניזם שווים לפשעי הנאציזם, וכך נערם עוד מכשול שמקשה על העמדתם לדין של אלה האחראים לפשעי השואה. </w:t>
      </w:r>
    </w:p>
    <w:p w:rsidR="00AF1F51" w:rsidRPr="00AF1F51" w:rsidRDefault="00AF1F51" w:rsidP="00AF1F51">
      <w:pPr>
        <w:spacing w:line="360" w:lineRule="auto"/>
        <w:rPr>
          <w:rFonts w:cs="David"/>
          <w:sz w:val="24"/>
          <w:szCs w:val="24"/>
          <w:rtl/>
        </w:rPr>
      </w:pPr>
    </w:p>
    <w:p w:rsidR="00AF1F51" w:rsidRPr="00AF1F51" w:rsidRDefault="00AF1F51" w:rsidP="00383719">
      <w:pPr>
        <w:spacing w:line="360" w:lineRule="auto"/>
        <w:ind w:left="-58"/>
        <w:rPr>
          <w:rFonts w:cs="David"/>
          <w:sz w:val="24"/>
          <w:szCs w:val="24"/>
          <w:rtl/>
        </w:rPr>
      </w:pPr>
      <w:r w:rsidRPr="00AF1F51">
        <w:rPr>
          <w:rFonts w:cs="David"/>
          <w:sz w:val="24"/>
          <w:szCs w:val="24"/>
          <w:rtl/>
        </w:rPr>
        <w:t>מחבר הדו"ח, מנהל מרכז ויזנטל בישראל דר' אפרים זורוף, שמרכז את המאמצים לאתר ולסייע בהעמדה לדין של פושעים נאצים בעולם, הדגיש שהמספרים בדו"ח מצביעים בברור שניתן עדיין להשיג דין צדק כנגד פושעים נאצים. "ב</w:t>
      </w:r>
      <w:r w:rsidR="00B1478A">
        <w:rPr>
          <w:rFonts w:cs="David" w:hint="cs"/>
          <w:sz w:val="24"/>
          <w:szCs w:val="24"/>
          <w:rtl/>
        </w:rPr>
        <w:t>ארבע</w:t>
      </w:r>
      <w:r w:rsidRPr="00AF1F51">
        <w:rPr>
          <w:rFonts w:cs="David"/>
          <w:sz w:val="24"/>
          <w:szCs w:val="24"/>
          <w:rtl/>
        </w:rPr>
        <w:t xml:space="preserve"> עשרה השנים האחרונות הושגו הרשעות בלפחות </w:t>
      </w:r>
      <w:r w:rsidRPr="00AF1F51">
        <w:rPr>
          <w:rFonts w:cs="David" w:hint="cs"/>
          <w:sz w:val="24"/>
          <w:szCs w:val="24"/>
          <w:rtl/>
        </w:rPr>
        <w:t>מאה ו</w:t>
      </w:r>
      <w:r w:rsidR="00B1478A">
        <w:rPr>
          <w:rFonts w:cs="David" w:hint="cs"/>
          <w:sz w:val="24"/>
          <w:szCs w:val="24"/>
          <w:rtl/>
        </w:rPr>
        <w:t>שניים</w:t>
      </w:r>
      <w:r w:rsidRPr="00AF1F51">
        <w:rPr>
          <w:rFonts w:cs="David"/>
          <w:sz w:val="24"/>
          <w:szCs w:val="24"/>
          <w:rtl/>
        </w:rPr>
        <w:t xml:space="preserve"> משפטים של פושעים נאצים, הוגשו לפחות </w:t>
      </w:r>
      <w:r w:rsidR="00A07FBE">
        <w:rPr>
          <w:rFonts w:cs="David" w:hint="cs"/>
          <w:sz w:val="24"/>
          <w:szCs w:val="24"/>
          <w:rtl/>
        </w:rPr>
        <w:t>תשעים ו</w:t>
      </w:r>
      <w:r w:rsidR="00B1478A">
        <w:rPr>
          <w:rFonts w:cs="David" w:hint="cs"/>
          <w:sz w:val="24"/>
          <w:szCs w:val="24"/>
          <w:rtl/>
        </w:rPr>
        <w:t>שמונה</w:t>
      </w:r>
      <w:r w:rsidRPr="00AF1F51">
        <w:rPr>
          <w:rFonts w:cs="David"/>
          <w:sz w:val="24"/>
          <w:szCs w:val="24"/>
          <w:rtl/>
        </w:rPr>
        <w:t xml:space="preserve"> כתבי-אישום חדשים ונפתחו למעלה משלושת אלפים </w:t>
      </w:r>
      <w:r w:rsidR="00B1478A">
        <w:rPr>
          <w:rFonts w:cs="David" w:hint="cs"/>
          <w:sz w:val="24"/>
          <w:szCs w:val="24"/>
          <w:rtl/>
        </w:rPr>
        <w:t xml:space="preserve">וחמש מאות </w:t>
      </w:r>
      <w:r w:rsidRPr="00AF1F51">
        <w:rPr>
          <w:rFonts w:cs="David"/>
          <w:sz w:val="24"/>
          <w:szCs w:val="24"/>
          <w:rtl/>
        </w:rPr>
        <w:t xml:space="preserve">חקירות חדשות. למרות ההנחה הרווחת שכבר מאוחר מדי להעמיד פושעים נאצים לדין, המספרים מוכיחים אחרת, ואנו מנסים להבטיח שבשנים הקרובות יובאו לדין לפחות חלק מאותם מקרים. קיימת הנחה שגילם המבוגר של הפושעים מונע את הבאתם לדין, אך המכשול  העיקרי הוא חוסר רצון פוליטי בצרוף הדעה השגויה שכבר בלתי אפשרי בשלב זה  לאתר, לזהות, ולהרשיע פושעים אלה. ההצלחה שהושגה על ידי תובעים מסורים לעניין, בייחוד </w:t>
      </w:r>
      <w:r w:rsidR="00383719">
        <w:rPr>
          <w:rFonts w:cs="David" w:hint="cs"/>
          <w:sz w:val="24"/>
          <w:szCs w:val="24"/>
          <w:rtl/>
        </w:rPr>
        <w:t>ב</w:t>
      </w:r>
      <w:r w:rsidRPr="00AF1F51">
        <w:rPr>
          <w:rFonts w:cs="David"/>
          <w:sz w:val="24"/>
          <w:szCs w:val="24"/>
          <w:rtl/>
        </w:rPr>
        <w:t>איטליה</w:t>
      </w:r>
      <w:r w:rsidR="00383719">
        <w:rPr>
          <w:rFonts w:cs="David" w:hint="cs"/>
          <w:sz w:val="24"/>
          <w:szCs w:val="24"/>
          <w:rtl/>
        </w:rPr>
        <w:t>,</w:t>
      </w:r>
      <w:r w:rsidRPr="00AF1F51">
        <w:rPr>
          <w:rFonts w:cs="David"/>
          <w:sz w:val="24"/>
          <w:szCs w:val="24"/>
          <w:rtl/>
        </w:rPr>
        <w:t xml:space="preserve"> גרמניה</w:t>
      </w:r>
      <w:r w:rsidR="00383719">
        <w:rPr>
          <w:rFonts w:cs="David" w:hint="cs"/>
          <w:sz w:val="24"/>
          <w:szCs w:val="24"/>
          <w:rtl/>
        </w:rPr>
        <w:t>, וארה"באמורה</w:t>
      </w:r>
      <w:r w:rsidRPr="00AF1F51">
        <w:rPr>
          <w:rFonts w:cs="David"/>
          <w:sz w:val="24"/>
          <w:szCs w:val="24"/>
          <w:rtl/>
        </w:rPr>
        <w:t xml:space="preserve"> להוכיח לממשלות בכל העולם שעליהן להשקיע מאמץ גדול יותר כשעוד ניתן להשיג קורטוב של צדק." </w:t>
      </w:r>
    </w:p>
    <w:p w:rsidR="00AF1F51" w:rsidRPr="00AF1F51" w:rsidRDefault="00AF1F51" w:rsidP="00AF1F51">
      <w:pPr>
        <w:spacing w:line="360" w:lineRule="auto"/>
        <w:ind w:left="-874"/>
        <w:rPr>
          <w:rFonts w:cs="David"/>
          <w:sz w:val="24"/>
          <w:szCs w:val="24"/>
          <w:rtl/>
        </w:rPr>
      </w:pPr>
      <w:r w:rsidRPr="00AF1F51">
        <w:rPr>
          <w:rFonts w:cs="David"/>
          <w:sz w:val="24"/>
          <w:szCs w:val="24"/>
          <w:rtl/>
        </w:rPr>
        <w:t> </w:t>
      </w:r>
    </w:p>
    <w:p w:rsidR="00AF1F51" w:rsidRPr="00AF1F51" w:rsidRDefault="00AF1F51" w:rsidP="00383719">
      <w:pPr>
        <w:spacing w:line="360" w:lineRule="auto"/>
        <w:ind w:left="-58"/>
        <w:rPr>
          <w:rFonts w:cs="David"/>
          <w:sz w:val="24"/>
          <w:szCs w:val="24"/>
          <w:rtl/>
        </w:rPr>
      </w:pPr>
      <w:r w:rsidRPr="00AF1F51">
        <w:rPr>
          <w:rFonts w:cs="David"/>
          <w:sz w:val="24"/>
          <w:szCs w:val="24"/>
          <w:rtl/>
        </w:rPr>
        <w:t xml:space="preserve">זורוף מסביר שמטרת הדו"ח למקד את תשומת לב הציבור בנושא זה וכך לעודד את הממשלות הנוגעות בדבר להגביר את מאמציהן ולהבטיח שפושעים רבים ככל האפשר שטרם הורשעו ישלמו על פשעיהם. במובן זה, אנו מבקשים להדגיש את התוצאות הטובות שהושגו בתקופה הנסקרת ע"י </w:t>
      </w:r>
      <w:r w:rsidR="00383719">
        <w:rPr>
          <w:rFonts w:cs="David" w:hint="cs"/>
          <w:sz w:val="24"/>
          <w:szCs w:val="24"/>
          <w:rtl/>
        </w:rPr>
        <w:t>גרמניה</w:t>
      </w:r>
      <w:r w:rsidRPr="00AF1F51">
        <w:rPr>
          <w:rFonts w:cs="David"/>
          <w:sz w:val="24"/>
          <w:szCs w:val="24"/>
          <w:rtl/>
        </w:rPr>
        <w:t xml:space="preserve"> ומולן את הכישלון של </w:t>
      </w:r>
      <w:r w:rsidR="00383719">
        <w:rPr>
          <w:rFonts w:cs="David" w:hint="cs"/>
          <w:sz w:val="24"/>
          <w:szCs w:val="24"/>
          <w:rtl/>
        </w:rPr>
        <w:t xml:space="preserve">אוסטריה, </w:t>
      </w:r>
      <w:r w:rsidRPr="00AF1F51">
        <w:rPr>
          <w:rFonts w:cs="David"/>
          <w:sz w:val="24"/>
          <w:szCs w:val="24"/>
          <w:rtl/>
        </w:rPr>
        <w:t xml:space="preserve">ליטא, לטביה, אסטוניה ואוקראינה שאינן מצליחות, בעקביות, להעניש את מבצעי השואה, בעיקר בשל חוסר הרצון הפוליטי הנחוץ וכן את שבדיה ונורבגיה שמסרבות באופן עקרוני לחקור ולשפוט אותם בשל חוקי התיישנות." </w:t>
      </w:r>
    </w:p>
    <w:p w:rsidR="00AF1F51" w:rsidRDefault="00AF1F51" w:rsidP="00AF1F51">
      <w:pPr>
        <w:spacing w:line="340" w:lineRule="exact"/>
        <w:ind w:left="-58"/>
        <w:rPr>
          <w:rFonts w:cs="David"/>
          <w:b/>
          <w:bCs/>
          <w:sz w:val="28"/>
          <w:szCs w:val="28"/>
          <w:rtl/>
        </w:rPr>
      </w:pPr>
      <w:r>
        <w:rPr>
          <w:rFonts w:cs="David"/>
          <w:b/>
          <w:bCs/>
          <w:sz w:val="28"/>
          <w:szCs w:val="28"/>
          <w:rtl/>
        </w:rPr>
        <w:t> </w:t>
      </w:r>
    </w:p>
    <w:p w:rsidR="00AF1F51" w:rsidRPr="00AF1F51" w:rsidRDefault="00AF1F51" w:rsidP="00E6490C">
      <w:pPr>
        <w:spacing w:line="340" w:lineRule="exact"/>
        <w:ind w:left="-58"/>
        <w:rPr>
          <w:rFonts w:cs="David"/>
          <w:b/>
          <w:bCs/>
          <w:rtl/>
        </w:rPr>
      </w:pPr>
      <w:r w:rsidRPr="00AF1F51">
        <w:rPr>
          <w:rFonts w:cs="David"/>
          <w:b/>
          <w:bCs/>
          <w:rtl/>
        </w:rPr>
        <w:t xml:space="preserve"> למידע נוסף בבקשה להתקשר </w:t>
      </w:r>
      <w:r w:rsidR="004A3523">
        <w:rPr>
          <w:rFonts w:cs="David" w:hint="cs"/>
          <w:b/>
          <w:bCs/>
          <w:rtl/>
        </w:rPr>
        <w:t xml:space="preserve">לד"ר זורוף מאמצעהיום </w:t>
      </w:r>
      <w:r w:rsidR="00E6490C">
        <w:rPr>
          <w:rFonts w:cs="David" w:hint="cs"/>
          <w:b/>
          <w:bCs/>
          <w:rtl/>
        </w:rPr>
        <w:t>4 למאי</w:t>
      </w:r>
      <w:r w:rsidR="004A3523">
        <w:rPr>
          <w:rFonts w:cs="David" w:hint="cs"/>
          <w:b/>
          <w:bCs/>
          <w:rtl/>
        </w:rPr>
        <w:t>: 050.721.4156</w:t>
      </w:r>
    </w:p>
    <w:p w:rsidR="00AF1F51" w:rsidRDefault="00AF1F51" w:rsidP="00AF1F51">
      <w:pPr>
        <w:spacing w:line="340" w:lineRule="exact"/>
        <w:ind w:left="-58"/>
        <w:rPr>
          <w:rFonts w:cs="David"/>
          <w:b/>
          <w:bCs/>
          <w:rtl/>
        </w:rPr>
      </w:pPr>
      <w:r w:rsidRPr="00AF1F51">
        <w:rPr>
          <w:rFonts w:cs="David"/>
          <w:b/>
          <w:bCs/>
          <w:rtl/>
        </w:rPr>
        <w:t xml:space="preserve">וכן בקרו באתרינו באינטרנט:  </w:t>
      </w:r>
      <w:hyperlink r:id="rId9" w:history="1">
        <w:r w:rsidRPr="00AF1F51">
          <w:rPr>
            <w:rStyle w:val="Hyperlink"/>
            <w:rFonts w:cs="David"/>
            <w:b/>
            <w:bCs/>
          </w:rPr>
          <w:t>www.operationlastchance.org</w:t>
        </w:r>
      </w:hyperlink>
      <w:hyperlink r:id="rId10" w:history="1">
        <w:r w:rsidRPr="00AF1F51">
          <w:rPr>
            <w:rStyle w:val="Hyperlink"/>
            <w:rFonts w:cs="David"/>
            <w:b/>
            <w:bCs/>
          </w:rPr>
          <w:t>www.wiesenthal.com</w:t>
        </w:r>
      </w:hyperlink>
    </w:p>
    <w:p w:rsidR="00AF1F51" w:rsidRPr="00AF1F51" w:rsidRDefault="00AF1F51" w:rsidP="00AF1F51">
      <w:pPr>
        <w:spacing w:line="340" w:lineRule="exact"/>
        <w:ind w:left="-58"/>
        <w:rPr>
          <w:rFonts w:cs="David"/>
          <w:b/>
          <w:bCs/>
          <w:rtl/>
        </w:rPr>
      </w:pPr>
      <w:r>
        <w:rPr>
          <w:rFonts w:cs="David" w:hint="cs"/>
          <w:b/>
          <w:bCs/>
          <w:rtl/>
        </w:rPr>
        <w:t xml:space="preserve">עקבו אחרינו בפייסבוק </w:t>
      </w:r>
      <w:r>
        <w:rPr>
          <w:rFonts w:cs="David"/>
          <w:b/>
          <w:bCs/>
        </w:rPr>
        <w:t>(EfraimZuroff)</w:t>
      </w:r>
      <w:r>
        <w:rPr>
          <w:rFonts w:cs="David" w:hint="cs"/>
          <w:b/>
          <w:bCs/>
          <w:rtl/>
        </w:rPr>
        <w:t xml:space="preserve"> ובטוויטר </w:t>
      </w:r>
      <w:r>
        <w:rPr>
          <w:rFonts w:cs="David"/>
          <w:b/>
          <w:bCs/>
        </w:rPr>
        <w:t>(@EZuroff)</w:t>
      </w:r>
      <w:r>
        <w:rPr>
          <w:rFonts w:cs="David" w:hint="cs"/>
          <w:b/>
          <w:bCs/>
          <w:rtl/>
        </w:rPr>
        <w:t xml:space="preserve">. </w:t>
      </w:r>
    </w:p>
    <w:p w:rsidR="00CD15B2" w:rsidRDefault="00800543" w:rsidP="00CD15B2">
      <w:pPr>
        <w:spacing w:after="0"/>
      </w:pPr>
      <w:r>
        <w:rPr>
          <w:rFonts w:cs="David"/>
          <w:sz w:val="24"/>
          <w:szCs w:val="24"/>
          <w:rtl/>
        </w:rPr>
        <w:br w:type="page"/>
      </w:r>
      <w:r w:rsidR="00CD15B2">
        <w:rPr>
          <w:rFonts w:hint="cs"/>
          <w:rtl/>
        </w:rPr>
        <w:lastRenderedPageBreak/>
        <w:t>4-16</w:t>
      </w:r>
    </w:p>
    <w:p w:rsidR="00CD15B2" w:rsidRPr="00CF255A" w:rsidRDefault="00CD15B2" w:rsidP="00CD15B2">
      <w:pPr>
        <w:jc w:val="center"/>
        <w:rPr>
          <w:b/>
          <w:bCs/>
          <w:sz w:val="28"/>
          <w:szCs w:val="28"/>
          <w:u w:val="single"/>
          <w:rtl/>
        </w:rPr>
      </w:pPr>
      <w:bookmarkStart w:id="0" w:name="_GoBack"/>
      <w:bookmarkEnd w:id="0"/>
      <w:r w:rsidRPr="00CF255A">
        <w:rPr>
          <w:rFonts w:hint="cs"/>
          <w:b/>
          <w:bCs/>
          <w:sz w:val="28"/>
          <w:szCs w:val="28"/>
          <w:u w:val="single"/>
          <w:rtl/>
        </w:rPr>
        <w:t>מרכז שמעון ויזנטל מציג: רשימת פושעי המלחמה הנאצים שיש סיכוי שיועמדו לדין בשנת 2016</w:t>
      </w:r>
    </w:p>
    <w:p w:rsidR="00CD15B2" w:rsidRPr="00CF255A" w:rsidRDefault="00CD15B2" w:rsidP="00CD15B2">
      <w:pPr>
        <w:rPr>
          <w:sz w:val="24"/>
          <w:szCs w:val="24"/>
          <w:rtl/>
        </w:rPr>
      </w:pPr>
      <w:r>
        <w:rPr>
          <w:rFonts w:hint="cs"/>
          <w:sz w:val="24"/>
          <w:szCs w:val="24"/>
          <w:rtl/>
        </w:rPr>
        <w:t xml:space="preserve">ירושלים - </w:t>
      </w:r>
      <w:r w:rsidRPr="00CF255A">
        <w:rPr>
          <w:rFonts w:hint="cs"/>
          <w:sz w:val="24"/>
          <w:szCs w:val="24"/>
          <w:rtl/>
        </w:rPr>
        <w:t xml:space="preserve">לרגל יום הזכרון הבינלאומי לשואה, מרכז שמעון ויזנטל מפרסם היום רשימה של עשרת הפושעים הנאצים שיש לגביהם סיכוי שיועמדו לדין בשנת 2016. צייד הנאצים הראשי של מרכז ויזנטל, ד"ר אפרים זורוף, הכין את הרשימה שכוללת פושעים שבצעו את פשעיהם בפולין (בעיקר במחנה המוות אושויץ-ברקנאו), בלוארוס, ליטא, אוקראינה, </w:t>
      </w:r>
      <w:r>
        <w:rPr>
          <w:rFonts w:hint="cs"/>
          <w:sz w:val="24"/>
          <w:szCs w:val="24"/>
          <w:rtl/>
        </w:rPr>
        <w:t>יוון</w:t>
      </w:r>
      <w:r w:rsidRPr="00CF255A">
        <w:rPr>
          <w:rFonts w:hint="cs"/>
          <w:sz w:val="24"/>
          <w:szCs w:val="24"/>
          <w:rtl/>
        </w:rPr>
        <w:t>, ואיטליה. המדינה הראשונה היא מקום מושבו של הפושע(ת), והשנייה  היא המדינה בה בוצע הפשע.</w:t>
      </w:r>
    </w:p>
    <w:p w:rsidR="00CD15B2" w:rsidRPr="00CF255A" w:rsidRDefault="00CD15B2" w:rsidP="00CD15B2">
      <w:pPr>
        <w:rPr>
          <w:sz w:val="24"/>
          <w:szCs w:val="24"/>
          <w:rtl/>
        </w:rPr>
      </w:pPr>
      <w:r w:rsidRPr="00CF255A">
        <w:rPr>
          <w:rFonts w:hint="cs"/>
          <w:sz w:val="24"/>
          <w:szCs w:val="24"/>
          <w:rtl/>
        </w:rPr>
        <w:t xml:space="preserve">*1. הלמה קיסנר </w:t>
      </w:r>
      <w:r w:rsidRPr="00CF255A">
        <w:rPr>
          <w:sz w:val="24"/>
          <w:szCs w:val="24"/>
          <w:rtl/>
        </w:rPr>
        <w:t>–</w:t>
      </w:r>
      <w:r w:rsidRPr="00CF255A">
        <w:rPr>
          <w:rFonts w:hint="cs"/>
          <w:sz w:val="24"/>
          <w:szCs w:val="24"/>
          <w:rtl/>
        </w:rPr>
        <w:t xml:space="preserve"> גרמניה (פולין) - שמשה כמפעילה רדיו במחנה המוות אושויץ מאפריל עד יולי 1944. מואשמת בסיוע לרצח ב-260,000 מקרים.</w:t>
      </w:r>
    </w:p>
    <w:p w:rsidR="00CD15B2" w:rsidRPr="00CF255A" w:rsidRDefault="00CD15B2" w:rsidP="00CD15B2">
      <w:pPr>
        <w:rPr>
          <w:sz w:val="24"/>
          <w:szCs w:val="24"/>
          <w:rtl/>
        </w:rPr>
      </w:pPr>
      <w:r w:rsidRPr="00CF255A">
        <w:rPr>
          <w:rFonts w:hint="cs"/>
          <w:sz w:val="24"/>
          <w:szCs w:val="24"/>
          <w:rtl/>
        </w:rPr>
        <w:t xml:space="preserve">*2. ריינהולד הנינג </w:t>
      </w:r>
      <w:r w:rsidRPr="00CF255A">
        <w:rPr>
          <w:sz w:val="24"/>
          <w:szCs w:val="24"/>
          <w:rtl/>
        </w:rPr>
        <w:t>–</w:t>
      </w:r>
      <w:r w:rsidRPr="00CF255A">
        <w:rPr>
          <w:rFonts w:hint="cs"/>
          <w:sz w:val="24"/>
          <w:szCs w:val="24"/>
          <w:rtl/>
        </w:rPr>
        <w:t xml:space="preserve"> גרמניה (פולין) - שירת במחנה המוות אושויץ מיונואר 1943 עד יוני 1944 </w:t>
      </w:r>
      <w:r w:rsidRPr="00CF255A">
        <w:rPr>
          <w:sz w:val="24"/>
          <w:szCs w:val="24"/>
          <w:rtl/>
        </w:rPr>
        <w:t>–</w:t>
      </w:r>
      <w:r w:rsidRPr="00CF255A">
        <w:rPr>
          <w:rFonts w:hint="cs"/>
          <w:sz w:val="24"/>
          <w:szCs w:val="24"/>
          <w:rtl/>
        </w:rPr>
        <w:t xml:space="preserve"> מאושם בסיוע לרצח ב-170,000 מקרים.</w:t>
      </w:r>
    </w:p>
    <w:p w:rsidR="00CD15B2" w:rsidRPr="00CF255A" w:rsidRDefault="00CD15B2" w:rsidP="00CD15B2">
      <w:pPr>
        <w:rPr>
          <w:sz w:val="24"/>
          <w:szCs w:val="24"/>
          <w:rtl/>
        </w:rPr>
      </w:pPr>
      <w:r w:rsidRPr="00CF255A">
        <w:rPr>
          <w:rFonts w:hint="cs"/>
          <w:sz w:val="24"/>
          <w:szCs w:val="24"/>
          <w:rtl/>
        </w:rPr>
        <w:t xml:space="preserve">3. הלמוט אוברלנדר </w:t>
      </w:r>
      <w:r w:rsidRPr="00CF255A">
        <w:rPr>
          <w:sz w:val="24"/>
          <w:szCs w:val="24"/>
          <w:rtl/>
        </w:rPr>
        <w:t>–</w:t>
      </w:r>
      <w:r w:rsidRPr="00CF255A">
        <w:rPr>
          <w:rFonts w:hint="cs"/>
          <w:sz w:val="24"/>
          <w:szCs w:val="24"/>
          <w:rtl/>
        </w:rPr>
        <w:t xml:space="preserve"> קנדה (אוקראינה) </w:t>
      </w:r>
      <w:r w:rsidRPr="00CF255A">
        <w:rPr>
          <w:sz w:val="24"/>
          <w:szCs w:val="24"/>
          <w:rtl/>
        </w:rPr>
        <w:t>–</w:t>
      </w:r>
      <w:r w:rsidRPr="00CF255A">
        <w:rPr>
          <w:rFonts w:hint="cs"/>
          <w:sz w:val="24"/>
          <w:szCs w:val="24"/>
          <w:rtl/>
        </w:rPr>
        <w:t xml:space="preserve"> שירת באיינזצקומ</w:t>
      </w:r>
      <w:r>
        <w:rPr>
          <w:rFonts w:hint="cs"/>
          <w:sz w:val="24"/>
          <w:szCs w:val="24"/>
          <w:rtl/>
        </w:rPr>
        <w:t>נ</w:t>
      </w:r>
      <w:r w:rsidRPr="00CF255A">
        <w:rPr>
          <w:rFonts w:hint="cs"/>
          <w:sz w:val="24"/>
          <w:szCs w:val="24"/>
          <w:rtl/>
        </w:rPr>
        <w:t xml:space="preserve">דו </w:t>
      </w:r>
      <w:r w:rsidRPr="00CF255A">
        <w:rPr>
          <w:sz w:val="24"/>
          <w:szCs w:val="24"/>
        </w:rPr>
        <w:t>A</w:t>
      </w:r>
      <w:r w:rsidRPr="00CF255A">
        <w:rPr>
          <w:rFonts w:hint="cs"/>
          <w:sz w:val="24"/>
          <w:szCs w:val="24"/>
          <w:rtl/>
        </w:rPr>
        <w:t>10 שהוא חלק מאיינזצגרופה</w:t>
      </w:r>
      <w:r w:rsidRPr="00CF255A">
        <w:rPr>
          <w:sz w:val="24"/>
          <w:szCs w:val="24"/>
        </w:rPr>
        <w:t>D</w:t>
      </w:r>
      <w:r w:rsidRPr="00CF255A">
        <w:rPr>
          <w:rFonts w:hint="cs"/>
          <w:sz w:val="24"/>
          <w:szCs w:val="24"/>
          <w:rtl/>
        </w:rPr>
        <w:t>שרצחה כ-23,000 אזרחים, רובם הגדול יהודים.</w:t>
      </w:r>
    </w:p>
    <w:p w:rsidR="00CD15B2" w:rsidRPr="00CF255A" w:rsidRDefault="00CD15B2" w:rsidP="00CD15B2">
      <w:pPr>
        <w:rPr>
          <w:sz w:val="24"/>
          <w:szCs w:val="24"/>
          <w:rtl/>
        </w:rPr>
      </w:pPr>
      <w:r w:rsidRPr="00CF255A">
        <w:rPr>
          <w:rFonts w:hint="cs"/>
          <w:sz w:val="24"/>
          <w:szCs w:val="24"/>
          <w:rtl/>
        </w:rPr>
        <w:t xml:space="preserve">*4. הוברט זפקה </w:t>
      </w:r>
      <w:r w:rsidRPr="00CF255A">
        <w:rPr>
          <w:sz w:val="24"/>
          <w:szCs w:val="24"/>
          <w:rtl/>
        </w:rPr>
        <w:t>–</w:t>
      </w:r>
      <w:r w:rsidRPr="00CF255A">
        <w:rPr>
          <w:rFonts w:hint="cs"/>
          <w:sz w:val="24"/>
          <w:szCs w:val="24"/>
          <w:rtl/>
        </w:rPr>
        <w:t xml:space="preserve"> גרמניה (פולין) </w:t>
      </w:r>
      <w:r w:rsidRPr="00CF255A">
        <w:rPr>
          <w:sz w:val="24"/>
          <w:szCs w:val="24"/>
          <w:rtl/>
        </w:rPr>
        <w:t>–</w:t>
      </w:r>
      <w:r w:rsidRPr="00CF255A">
        <w:rPr>
          <w:rFonts w:hint="cs"/>
          <w:sz w:val="24"/>
          <w:szCs w:val="24"/>
          <w:rtl/>
        </w:rPr>
        <w:t xml:space="preserve"> שירת כחובש במחנה המוות אושויץ בשנים 1943 ו-1944 </w:t>
      </w:r>
      <w:r w:rsidRPr="00CF255A">
        <w:rPr>
          <w:sz w:val="24"/>
          <w:szCs w:val="24"/>
          <w:rtl/>
        </w:rPr>
        <w:t>–</w:t>
      </w:r>
      <w:r w:rsidRPr="00CF255A">
        <w:rPr>
          <w:rFonts w:hint="cs"/>
          <w:sz w:val="24"/>
          <w:szCs w:val="24"/>
          <w:rtl/>
        </w:rPr>
        <w:t xml:space="preserve"> מואשם בסיוע לרצח ב-3,681 מקרים.</w:t>
      </w:r>
    </w:p>
    <w:p w:rsidR="00CD15B2" w:rsidRPr="00CF255A" w:rsidRDefault="00CD15B2" w:rsidP="00CD15B2">
      <w:pPr>
        <w:rPr>
          <w:sz w:val="24"/>
          <w:szCs w:val="24"/>
          <w:rtl/>
        </w:rPr>
      </w:pPr>
      <w:r w:rsidRPr="00CF255A">
        <w:rPr>
          <w:rFonts w:hint="cs"/>
          <w:sz w:val="24"/>
          <w:szCs w:val="24"/>
          <w:rtl/>
        </w:rPr>
        <w:t xml:space="preserve">*5. ארנסט טרמל </w:t>
      </w:r>
      <w:r w:rsidRPr="00CF255A">
        <w:rPr>
          <w:sz w:val="24"/>
          <w:szCs w:val="24"/>
          <w:rtl/>
        </w:rPr>
        <w:t>–</w:t>
      </w:r>
      <w:r w:rsidRPr="00CF255A">
        <w:rPr>
          <w:rFonts w:hint="cs"/>
          <w:sz w:val="24"/>
          <w:szCs w:val="24"/>
          <w:rtl/>
        </w:rPr>
        <w:t xml:space="preserve"> גרמניה (פולין) </w:t>
      </w:r>
      <w:r w:rsidRPr="00CF255A">
        <w:rPr>
          <w:sz w:val="24"/>
          <w:szCs w:val="24"/>
          <w:rtl/>
        </w:rPr>
        <w:t>–</w:t>
      </w:r>
      <w:r w:rsidRPr="00CF255A">
        <w:rPr>
          <w:rFonts w:hint="cs"/>
          <w:sz w:val="24"/>
          <w:szCs w:val="24"/>
          <w:rtl/>
        </w:rPr>
        <w:t xml:space="preserve"> שירת במחנה המוות אושויץ </w:t>
      </w:r>
      <w:r w:rsidRPr="00CF255A">
        <w:rPr>
          <w:sz w:val="24"/>
          <w:szCs w:val="24"/>
          <w:rtl/>
        </w:rPr>
        <w:t>–</w:t>
      </w:r>
      <w:r w:rsidRPr="00CF255A">
        <w:rPr>
          <w:rFonts w:hint="cs"/>
          <w:sz w:val="24"/>
          <w:szCs w:val="24"/>
          <w:rtl/>
        </w:rPr>
        <w:t xml:space="preserve"> מואשם בסיוע לרצח ב-1,073 מקרים.</w:t>
      </w:r>
    </w:p>
    <w:p w:rsidR="00CD15B2" w:rsidRPr="00CF255A" w:rsidRDefault="00CD15B2" w:rsidP="00CD15B2">
      <w:pPr>
        <w:rPr>
          <w:sz w:val="24"/>
          <w:szCs w:val="24"/>
          <w:rtl/>
        </w:rPr>
      </w:pPr>
      <w:r w:rsidRPr="00CF255A">
        <w:rPr>
          <w:rFonts w:hint="cs"/>
          <w:sz w:val="24"/>
          <w:szCs w:val="24"/>
          <w:rtl/>
        </w:rPr>
        <w:t xml:space="preserve">6. אלפרד שטרק </w:t>
      </w:r>
      <w:r w:rsidRPr="00CF255A">
        <w:rPr>
          <w:sz w:val="24"/>
          <w:szCs w:val="24"/>
          <w:rtl/>
        </w:rPr>
        <w:t>–</w:t>
      </w:r>
      <w:r w:rsidRPr="00CF255A">
        <w:rPr>
          <w:rFonts w:hint="cs"/>
          <w:sz w:val="24"/>
          <w:szCs w:val="24"/>
          <w:rtl/>
        </w:rPr>
        <w:t xml:space="preserve"> גרמניה (יוון) </w:t>
      </w:r>
      <w:r w:rsidRPr="00CF255A">
        <w:rPr>
          <w:sz w:val="24"/>
          <w:szCs w:val="24"/>
          <w:rtl/>
        </w:rPr>
        <w:t>–</w:t>
      </w:r>
      <w:r w:rsidRPr="00CF255A">
        <w:rPr>
          <w:rFonts w:hint="cs"/>
          <w:sz w:val="24"/>
          <w:szCs w:val="24"/>
          <w:rtl/>
        </w:rPr>
        <w:t xml:space="preserve"> השתתף בספטמבר 1943 ברצח של 120 קצינים איטלקים באי קפלוניה ביוון.</w:t>
      </w:r>
    </w:p>
    <w:p w:rsidR="00CD15B2" w:rsidRPr="00CF255A" w:rsidRDefault="00CD15B2" w:rsidP="00CD15B2">
      <w:pPr>
        <w:rPr>
          <w:sz w:val="24"/>
          <w:szCs w:val="24"/>
          <w:rtl/>
        </w:rPr>
      </w:pPr>
      <w:r w:rsidRPr="00CF255A">
        <w:rPr>
          <w:rFonts w:hint="cs"/>
          <w:sz w:val="24"/>
          <w:szCs w:val="24"/>
          <w:rtl/>
        </w:rPr>
        <w:t xml:space="preserve">7. הלמוט ראסבול </w:t>
      </w:r>
      <w:r w:rsidRPr="00CF255A">
        <w:rPr>
          <w:sz w:val="24"/>
          <w:szCs w:val="24"/>
          <w:rtl/>
        </w:rPr>
        <w:t>–</w:t>
      </w:r>
      <w:r w:rsidRPr="00CF255A">
        <w:rPr>
          <w:rFonts w:hint="cs"/>
          <w:sz w:val="24"/>
          <w:szCs w:val="24"/>
          <w:rtl/>
        </w:rPr>
        <w:t xml:space="preserve"> דנמרק (בלארוס) </w:t>
      </w:r>
      <w:r w:rsidRPr="00CF255A">
        <w:rPr>
          <w:sz w:val="24"/>
          <w:szCs w:val="24"/>
          <w:rtl/>
        </w:rPr>
        <w:t>–</w:t>
      </w:r>
      <w:r w:rsidRPr="00CF255A">
        <w:rPr>
          <w:rFonts w:hint="cs"/>
          <w:sz w:val="24"/>
          <w:szCs w:val="24"/>
          <w:rtl/>
        </w:rPr>
        <w:t xml:space="preserve"> בשנים 1942-1943 שירת כזקיף במחנה ריכוז ליהודום שהובאו מגיטו וארשה לבברויסק, בלארוס. כמעט כל אסירי המחנה נרצחו או מתו מהתנאים הקשים באותה תקופה.</w:t>
      </w:r>
    </w:p>
    <w:p w:rsidR="00CD15B2" w:rsidRPr="00CF255A" w:rsidRDefault="00CD15B2" w:rsidP="00CD15B2">
      <w:pPr>
        <w:rPr>
          <w:sz w:val="24"/>
          <w:szCs w:val="24"/>
          <w:rtl/>
        </w:rPr>
      </w:pPr>
      <w:r w:rsidRPr="00CF255A">
        <w:rPr>
          <w:rFonts w:hint="cs"/>
          <w:sz w:val="24"/>
          <w:szCs w:val="24"/>
          <w:rtl/>
        </w:rPr>
        <w:t xml:space="preserve">8. אקסל אנדרסן </w:t>
      </w:r>
      <w:r w:rsidRPr="00CF255A">
        <w:rPr>
          <w:sz w:val="24"/>
          <w:szCs w:val="24"/>
          <w:rtl/>
        </w:rPr>
        <w:t>–</w:t>
      </w:r>
      <w:r w:rsidRPr="00CF255A">
        <w:rPr>
          <w:rFonts w:hint="cs"/>
          <w:sz w:val="24"/>
          <w:szCs w:val="24"/>
          <w:rtl/>
        </w:rPr>
        <w:t xml:space="preserve"> שוודיה (בלארוס) - בשנים 1942-1943 שירת כזקיף במחנה ריכוז ליהודום שהובאו מגיטו וארשה לבברויסק, בלארוס. כמעט כל אסירי המחנה נרצחו או מתו מהתנאים הקשים באותה תקופה.</w:t>
      </w:r>
    </w:p>
    <w:p w:rsidR="00CD15B2" w:rsidRPr="00CF255A" w:rsidRDefault="00CD15B2" w:rsidP="00CD15B2">
      <w:pPr>
        <w:rPr>
          <w:sz w:val="24"/>
          <w:szCs w:val="24"/>
          <w:rtl/>
        </w:rPr>
      </w:pPr>
      <w:r w:rsidRPr="00CF255A">
        <w:rPr>
          <w:rFonts w:hint="cs"/>
          <w:sz w:val="24"/>
          <w:szCs w:val="24"/>
          <w:rtl/>
        </w:rPr>
        <w:t xml:space="preserve">9. יוהאן רוברט ריס </w:t>
      </w:r>
      <w:r w:rsidRPr="00CF255A">
        <w:rPr>
          <w:sz w:val="24"/>
          <w:szCs w:val="24"/>
          <w:rtl/>
        </w:rPr>
        <w:t>–</w:t>
      </w:r>
      <w:r w:rsidRPr="00CF255A">
        <w:rPr>
          <w:rFonts w:hint="cs"/>
          <w:sz w:val="24"/>
          <w:szCs w:val="24"/>
          <w:rtl/>
        </w:rPr>
        <w:t xml:space="preserve"> גרמניה (איטליה) </w:t>
      </w:r>
      <w:r w:rsidRPr="00CF255A">
        <w:rPr>
          <w:sz w:val="24"/>
          <w:szCs w:val="24"/>
          <w:rtl/>
        </w:rPr>
        <w:t>–</w:t>
      </w:r>
      <w:r w:rsidRPr="00CF255A">
        <w:rPr>
          <w:rFonts w:hint="cs"/>
          <w:sz w:val="24"/>
          <w:szCs w:val="24"/>
          <w:rtl/>
        </w:rPr>
        <w:t xml:space="preserve"> השתתף ברצח 184 אזרחים בפאדולה די פוסאציו ב-23 באוגוסט 1944.</w:t>
      </w:r>
    </w:p>
    <w:p w:rsidR="00CD15B2" w:rsidRPr="00CF255A" w:rsidRDefault="00CD15B2" w:rsidP="00CD15B2">
      <w:pPr>
        <w:rPr>
          <w:sz w:val="24"/>
          <w:szCs w:val="24"/>
          <w:rtl/>
        </w:rPr>
      </w:pPr>
      <w:r w:rsidRPr="00CF255A">
        <w:rPr>
          <w:rFonts w:hint="cs"/>
          <w:sz w:val="24"/>
          <w:szCs w:val="24"/>
          <w:rtl/>
        </w:rPr>
        <w:t xml:space="preserve">10. אלגמנטס דאילידה </w:t>
      </w:r>
      <w:r w:rsidRPr="00CF255A">
        <w:rPr>
          <w:sz w:val="24"/>
          <w:szCs w:val="24"/>
          <w:rtl/>
        </w:rPr>
        <w:t>–</w:t>
      </w:r>
      <w:r w:rsidRPr="00CF255A">
        <w:rPr>
          <w:rFonts w:hint="cs"/>
          <w:sz w:val="24"/>
          <w:szCs w:val="24"/>
          <w:rtl/>
        </w:rPr>
        <w:t xml:space="preserve"> גרמניה (ליטא) </w:t>
      </w:r>
      <w:r w:rsidRPr="00CF255A">
        <w:rPr>
          <w:sz w:val="24"/>
          <w:szCs w:val="24"/>
          <w:rtl/>
        </w:rPr>
        <w:t>–</w:t>
      </w:r>
      <w:r w:rsidRPr="00CF255A">
        <w:rPr>
          <w:rFonts w:hint="cs"/>
          <w:sz w:val="24"/>
          <w:szCs w:val="24"/>
          <w:rtl/>
        </w:rPr>
        <w:t xml:space="preserve"> שירת בסאוגומאס (משטרת הבטחון הליטאית) בוילנה, שם עצר יהודים ופולנים שלאחר מכן נרצחו על-ידי הנאצים ומשתתפ</w:t>
      </w:r>
      <w:r>
        <w:rPr>
          <w:rFonts w:hint="cs"/>
          <w:sz w:val="24"/>
          <w:szCs w:val="24"/>
          <w:rtl/>
        </w:rPr>
        <w:t>י</w:t>
      </w:r>
      <w:r w:rsidRPr="00CF255A">
        <w:rPr>
          <w:rFonts w:hint="cs"/>
          <w:sz w:val="24"/>
          <w:szCs w:val="24"/>
          <w:rtl/>
        </w:rPr>
        <w:t>-פעולה ליטאים.</w:t>
      </w:r>
    </w:p>
    <w:p w:rsidR="00CD15B2" w:rsidRPr="00CF255A" w:rsidRDefault="00CD15B2" w:rsidP="00CD15B2">
      <w:pPr>
        <w:rPr>
          <w:sz w:val="24"/>
          <w:szCs w:val="24"/>
          <w:rtl/>
        </w:rPr>
      </w:pPr>
      <w:r w:rsidRPr="00CF255A">
        <w:rPr>
          <w:rFonts w:hint="cs"/>
          <w:sz w:val="24"/>
          <w:szCs w:val="24"/>
          <w:rtl/>
        </w:rPr>
        <w:t xml:space="preserve">* הוגשו כבר כתבי-אישום בגרמניה </w:t>
      </w:r>
      <w:r>
        <w:rPr>
          <w:rFonts w:hint="cs"/>
          <w:sz w:val="24"/>
          <w:szCs w:val="24"/>
          <w:rtl/>
        </w:rPr>
        <w:t>ו</w:t>
      </w:r>
      <w:r w:rsidRPr="00CF255A">
        <w:rPr>
          <w:rFonts w:hint="cs"/>
          <w:sz w:val="24"/>
          <w:szCs w:val="24"/>
          <w:rtl/>
        </w:rPr>
        <w:t>הם יועמדו לדין ב-2016.</w:t>
      </w:r>
    </w:p>
    <w:p w:rsidR="00CD15B2" w:rsidRPr="00CF255A" w:rsidRDefault="00CD15B2" w:rsidP="00CD15B2">
      <w:pPr>
        <w:rPr>
          <w:sz w:val="24"/>
          <w:szCs w:val="24"/>
          <w:rtl/>
        </w:rPr>
      </w:pPr>
      <w:r w:rsidRPr="00CF255A">
        <w:rPr>
          <w:rFonts w:hint="cs"/>
          <w:sz w:val="24"/>
          <w:szCs w:val="24"/>
          <w:rtl/>
        </w:rPr>
        <w:t>לדברי ד"ר זורוף שחיבר את הרשימה:</w:t>
      </w:r>
    </w:p>
    <w:p w:rsidR="00CD15B2" w:rsidRPr="00CF255A" w:rsidRDefault="00CD15B2" w:rsidP="00CD15B2">
      <w:pPr>
        <w:rPr>
          <w:sz w:val="24"/>
          <w:szCs w:val="24"/>
          <w:rtl/>
        </w:rPr>
      </w:pPr>
      <w:r w:rsidRPr="00CF255A">
        <w:rPr>
          <w:rFonts w:hint="cs"/>
          <w:sz w:val="24"/>
          <w:szCs w:val="24"/>
          <w:rtl/>
        </w:rPr>
        <w:t xml:space="preserve">"רשימה זו היא רק קצה הקרחון של </w:t>
      </w:r>
      <w:r>
        <w:rPr>
          <w:rFonts w:hint="cs"/>
          <w:sz w:val="24"/>
          <w:szCs w:val="24"/>
          <w:rtl/>
        </w:rPr>
        <w:t>רשימתה</w:t>
      </w:r>
      <w:r w:rsidRPr="00CF255A">
        <w:rPr>
          <w:rFonts w:hint="cs"/>
          <w:sz w:val="24"/>
          <w:szCs w:val="24"/>
          <w:rtl/>
        </w:rPr>
        <w:t>אנשים שאפשר להעמיד לדין בגין שירותם בשרות הרייך השלישי או בעלי ברי</w:t>
      </w:r>
      <w:r>
        <w:rPr>
          <w:rFonts w:hint="cs"/>
          <w:sz w:val="24"/>
          <w:szCs w:val="24"/>
          <w:rtl/>
        </w:rPr>
        <w:t>ת</w:t>
      </w:r>
      <w:r w:rsidRPr="00CF255A">
        <w:rPr>
          <w:rFonts w:hint="cs"/>
          <w:sz w:val="24"/>
          <w:szCs w:val="24"/>
          <w:rtl/>
        </w:rPr>
        <w:t xml:space="preserve">ה. חשוב לזכור שהזמן שעובר אינו מפחית כיהוא זה מאשמת </w:t>
      </w:r>
      <w:r w:rsidRPr="00CF255A">
        <w:rPr>
          <w:rFonts w:hint="cs"/>
          <w:sz w:val="24"/>
          <w:szCs w:val="24"/>
          <w:rtl/>
        </w:rPr>
        <w:lastRenderedPageBreak/>
        <w:t>הר</w:t>
      </w:r>
      <w:r>
        <w:rPr>
          <w:rFonts w:hint="cs"/>
          <w:sz w:val="24"/>
          <w:szCs w:val="24"/>
          <w:rtl/>
        </w:rPr>
        <w:t>ו</w:t>
      </w:r>
      <w:r w:rsidRPr="00CF255A">
        <w:rPr>
          <w:rFonts w:hint="cs"/>
          <w:sz w:val="24"/>
          <w:szCs w:val="24"/>
          <w:rtl/>
        </w:rPr>
        <w:t xml:space="preserve">צחים, אסור שהזקנה </w:t>
      </w:r>
      <w:r>
        <w:rPr>
          <w:rFonts w:hint="cs"/>
          <w:sz w:val="24"/>
          <w:szCs w:val="24"/>
          <w:rtl/>
        </w:rPr>
        <w:t>תגןע</w:t>
      </w:r>
      <w:r w:rsidRPr="00CF255A">
        <w:rPr>
          <w:rFonts w:hint="cs"/>
          <w:sz w:val="24"/>
          <w:szCs w:val="24"/>
          <w:rtl/>
        </w:rPr>
        <w:t>ל</w:t>
      </w:r>
      <w:r>
        <w:rPr>
          <w:rFonts w:hint="cs"/>
          <w:sz w:val="24"/>
          <w:szCs w:val="24"/>
          <w:rtl/>
        </w:rPr>
        <w:t xml:space="preserve"> אלה</w:t>
      </w:r>
      <w:r w:rsidRPr="00CF255A">
        <w:rPr>
          <w:rFonts w:hint="cs"/>
          <w:sz w:val="24"/>
          <w:szCs w:val="24"/>
          <w:rtl/>
        </w:rPr>
        <w:t xml:space="preserve"> שבצע</w:t>
      </w:r>
      <w:r>
        <w:rPr>
          <w:rFonts w:hint="cs"/>
          <w:sz w:val="24"/>
          <w:szCs w:val="24"/>
          <w:rtl/>
        </w:rPr>
        <w:t>ו</w:t>
      </w:r>
      <w:r w:rsidRPr="00CF255A">
        <w:rPr>
          <w:rFonts w:hint="cs"/>
          <w:sz w:val="24"/>
          <w:szCs w:val="24"/>
          <w:rtl/>
        </w:rPr>
        <w:t xml:space="preserve"> פשעים כ</w:t>
      </w:r>
      <w:r>
        <w:rPr>
          <w:rFonts w:hint="cs"/>
          <w:sz w:val="24"/>
          <w:szCs w:val="24"/>
          <w:rtl/>
        </w:rPr>
        <w:t>ה</w:t>
      </w:r>
      <w:r w:rsidRPr="00CF255A">
        <w:rPr>
          <w:rFonts w:hint="cs"/>
          <w:sz w:val="24"/>
          <w:szCs w:val="24"/>
          <w:rtl/>
        </w:rPr>
        <w:t xml:space="preserve"> נפשעים ומחובתנו להשקיע מאמץ רציני לא</w:t>
      </w:r>
      <w:r>
        <w:rPr>
          <w:rFonts w:hint="cs"/>
          <w:sz w:val="24"/>
          <w:szCs w:val="24"/>
          <w:rtl/>
        </w:rPr>
        <w:t>ת</w:t>
      </w:r>
      <w:r w:rsidRPr="00CF255A">
        <w:rPr>
          <w:rFonts w:hint="cs"/>
          <w:sz w:val="24"/>
          <w:szCs w:val="24"/>
          <w:rtl/>
        </w:rPr>
        <w:t>ר ולהעמיד לדין את אלה שהפכו אנשים, נשים וטף חפים מפשע לקורבנות, חלקם אפילו מבוגרים יותר מגילם של הפושעים היום."</w:t>
      </w:r>
    </w:p>
    <w:p w:rsidR="00800543" w:rsidRDefault="00800543" w:rsidP="00CD15B2">
      <w:pPr>
        <w:rPr>
          <w:rFonts w:cs="David"/>
          <w:sz w:val="24"/>
          <w:szCs w:val="24"/>
          <w:rtl/>
        </w:rPr>
      </w:pPr>
    </w:p>
    <w:sectPr w:rsidR="00800543" w:rsidSect="00AF1F51">
      <w:footerReference w:type="default" r:id="rId11"/>
      <w:pgSz w:w="11906" w:h="16838"/>
      <w:pgMar w:top="1440" w:right="1800" w:bottom="1440" w:left="1418"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CFC" w:rsidRDefault="00724CFC" w:rsidP="00A07FBE">
      <w:pPr>
        <w:spacing w:after="0" w:line="240" w:lineRule="auto"/>
      </w:pPr>
      <w:r>
        <w:separator/>
      </w:r>
    </w:p>
  </w:endnote>
  <w:endnote w:type="continuationSeparator" w:id="1">
    <w:p w:rsidR="00724CFC" w:rsidRDefault="00724CFC" w:rsidP="00A07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0000000000000000000"/>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26899533"/>
      <w:docPartObj>
        <w:docPartGallery w:val="Page Numbers (Bottom of Page)"/>
        <w:docPartUnique/>
      </w:docPartObj>
    </w:sdtPr>
    <w:sdtEndPr>
      <w:rPr>
        <w:noProof/>
      </w:rPr>
    </w:sdtEndPr>
    <w:sdtContent>
      <w:p w:rsidR="00A07FBE" w:rsidRDefault="00047C1A">
        <w:pPr>
          <w:pStyle w:val="Footer"/>
          <w:jc w:val="center"/>
        </w:pPr>
        <w:r>
          <w:fldChar w:fldCharType="begin"/>
        </w:r>
        <w:r w:rsidR="00A07FBE">
          <w:instrText xml:space="preserve"> PAGE   \* MERGEFORMAT </w:instrText>
        </w:r>
        <w:r>
          <w:fldChar w:fldCharType="separate"/>
        </w:r>
        <w:r w:rsidR="00904474">
          <w:rPr>
            <w:noProof/>
            <w:rtl/>
          </w:rPr>
          <w:t>1</w:t>
        </w:r>
        <w:r>
          <w:rPr>
            <w:noProof/>
          </w:rPr>
          <w:fldChar w:fldCharType="end"/>
        </w:r>
      </w:p>
    </w:sdtContent>
  </w:sdt>
  <w:p w:rsidR="00A07FBE" w:rsidRDefault="00A07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CFC" w:rsidRDefault="00724CFC" w:rsidP="00A07FBE">
      <w:pPr>
        <w:spacing w:after="0" w:line="240" w:lineRule="auto"/>
      </w:pPr>
      <w:r>
        <w:separator/>
      </w:r>
    </w:p>
  </w:footnote>
  <w:footnote w:type="continuationSeparator" w:id="1">
    <w:p w:rsidR="00724CFC" w:rsidRDefault="00724CFC" w:rsidP="00A07F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6E2905"/>
    <w:rsid w:val="000216F6"/>
    <w:rsid w:val="00047C1A"/>
    <w:rsid w:val="000A6853"/>
    <w:rsid w:val="001360C2"/>
    <w:rsid w:val="001B45DE"/>
    <w:rsid w:val="002779AD"/>
    <w:rsid w:val="00343662"/>
    <w:rsid w:val="00383719"/>
    <w:rsid w:val="003C23E2"/>
    <w:rsid w:val="00415085"/>
    <w:rsid w:val="004A3523"/>
    <w:rsid w:val="00566471"/>
    <w:rsid w:val="005C6CBF"/>
    <w:rsid w:val="0063362C"/>
    <w:rsid w:val="006E2905"/>
    <w:rsid w:val="00724CFC"/>
    <w:rsid w:val="00763FF6"/>
    <w:rsid w:val="00770127"/>
    <w:rsid w:val="00800543"/>
    <w:rsid w:val="0083267F"/>
    <w:rsid w:val="00904474"/>
    <w:rsid w:val="009C4CFF"/>
    <w:rsid w:val="00A02F6F"/>
    <w:rsid w:val="00A07E82"/>
    <w:rsid w:val="00A07FBE"/>
    <w:rsid w:val="00A86481"/>
    <w:rsid w:val="00AA48E3"/>
    <w:rsid w:val="00AF1F51"/>
    <w:rsid w:val="00B1478A"/>
    <w:rsid w:val="00C84ADF"/>
    <w:rsid w:val="00CD15B2"/>
    <w:rsid w:val="00CE6750"/>
    <w:rsid w:val="00D332B5"/>
    <w:rsid w:val="00E6490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05"/>
    <w:pPr>
      <w:bidi/>
    </w:pPr>
  </w:style>
  <w:style w:type="paragraph" w:styleId="Heading1">
    <w:name w:val="heading 1"/>
    <w:basedOn w:val="Normal"/>
    <w:next w:val="Normal"/>
    <w:link w:val="Heading1Char"/>
    <w:uiPriority w:val="9"/>
    <w:qFormat/>
    <w:rsid w:val="006E2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90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E2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6E29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290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E29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2905"/>
  </w:style>
  <w:style w:type="character" w:styleId="Hyperlink">
    <w:name w:val="Hyperlink"/>
    <w:basedOn w:val="DefaultParagraphFont"/>
    <w:uiPriority w:val="99"/>
    <w:unhideWhenUsed/>
    <w:rsid w:val="006E2905"/>
    <w:rPr>
      <w:color w:val="0000FF" w:themeColor="hyperlink"/>
      <w:u w:val="single"/>
    </w:rPr>
  </w:style>
  <w:style w:type="paragraph" w:styleId="BalloonText">
    <w:name w:val="Balloon Text"/>
    <w:basedOn w:val="Normal"/>
    <w:link w:val="BalloonTextChar"/>
    <w:uiPriority w:val="99"/>
    <w:semiHidden/>
    <w:unhideWhenUsed/>
    <w:rsid w:val="006E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905"/>
    <w:rPr>
      <w:rFonts w:ascii="Tahoma" w:hAnsi="Tahoma" w:cs="Tahoma"/>
      <w:sz w:val="16"/>
      <w:szCs w:val="16"/>
    </w:rPr>
  </w:style>
  <w:style w:type="paragraph" w:styleId="Footer">
    <w:name w:val="footer"/>
    <w:basedOn w:val="Normal"/>
    <w:link w:val="FooterChar"/>
    <w:uiPriority w:val="99"/>
    <w:unhideWhenUsed/>
    <w:rsid w:val="00A07F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7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05"/>
    <w:pPr>
      <w:bidi/>
    </w:pPr>
  </w:style>
  <w:style w:type="paragraph" w:styleId="Heading1">
    <w:name w:val="heading 1"/>
    <w:basedOn w:val="Normal"/>
    <w:next w:val="Normal"/>
    <w:link w:val="Heading1Char"/>
    <w:uiPriority w:val="9"/>
    <w:qFormat/>
    <w:rsid w:val="006E2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90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E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E29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290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E29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2905"/>
  </w:style>
  <w:style w:type="character" w:styleId="Hyperlink">
    <w:name w:val="Hyperlink"/>
    <w:basedOn w:val="DefaultParagraphFont"/>
    <w:uiPriority w:val="99"/>
    <w:unhideWhenUsed/>
    <w:rsid w:val="006E2905"/>
    <w:rPr>
      <w:color w:val="0000FF" w:themeColor="hyperlink"/>
      <w:u w:val="single"/>
    </w:rPr>
  </w:style>
  <w:style w:type="paragraph" w:styleId="BalloonText">
    <w:name w:val="Balloon Text"/>
    <w:basedOn w:val="Normal"/>
    <w:link w:val="BalloonTextChar"/>
    <w:uiPriority w:val="99"/>
    <w:semiHidden/>
    <w:unhideWhenUsed/>
    <w:rsid w:val="006E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905"/>
    <w:rPr>
      <w:rFonts w:ascii="Tahoma" w:hAnsi="Tahoma" w:cs="Tahoma"/>
      <w:sz w:val="16"/>
      <w:szCs w:val="16"/>
    </w:rPr>
  </w:style>
  <w:style w:type="paragraph" w:styleId="Footer">
    <w:name w:val="footer"/>
    <w:basedOn w:val="Normal"/>
    <w:link w:val="FooterChar"/>
    <w:uiPriority w:val="99"/>
    <w:unhideWhenUsed/>
    <w:rsid w:val="00A07F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7FB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cjerus@netvision.net.i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perationlastchanc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wiesenthal.com/" TargetMode="External"/><Relationship Id="rId4" Type="http://schemas.openxmlformats.org/officeDocument/2006/relationships/footnotes" Target="footnotes.xml"/><Relationship Id="rId9" Type="http://schemas.openxmlformats.org/officeDocument/2006/relationships/hyperlink" Target="http://www.operationlastchance.org/" TargetMode="External"/><Relationship Id="rId1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5115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2</cp:revision>
  <cp:lastPrinted>2015-04-13T12:39:00Z</cp:lastPrinted>
  <dcterms:created xsi:type="dcterms:W3CDTF">2016-05-08T16:44:00Z</dcterms:created>
  <dcterms:modified xsi:type="dcterms:W3CDTF">2016-05-08T16:44:00Z</dcterms:modified>
</cp:coreProperties>
</file>